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Cue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DRIEHAUS CAPITAL MANAGEMENT LLC</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292,144.00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292,144.00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292,144.00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6.96 %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Cue Biopharma,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Guest Street, Boston, MA 02135</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Driehaus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25 East Erie Street, Chicago, Illinois 60611</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292144</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6.96  %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292144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292144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Driehaus Life Sciences Master Fund, L.P. (DLSM), a Cayman Islands exempted company, is an investment advisory client of DCM. The shares reported by Driehaus Capital Management LLC (DCM) are held by two clients on a fully discretionary basis in accounts managed by DCM. Securities held in these clients' accounts are included in this report to reflect that DCM may have voting power and has dispositive power. The clients have the right to receive or the power to direct the receipt of dividends from, or the proceeds from the sales of, the securities covered by this Statement. DLSM has the right and power with respect to more than 5% of the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30" w:type="dxa"/>
        <w:jc w:val="left"/>
        <w:tblInd w:w="0" w:type="dxa"/>
        <w:tblLayout w:type="fixed"/>
        <w:tblCellMar>
          <w:top w:w="28" w:type="dxa"/>
          <w:left w:w="28" w:type="dxa"/>
          <w:bottom w:w="28" w:type="dxa"/>
          <w:right w:w="28" w:type="dxa"/>
        </w:tblCellMar>
      </w:tblPr>
      <w:tblGrid>
        <w:gridCol w:w="5015"/>
        <w:gridCol w:w="5015"/>
      </w:tblGrid>
      <w:tr>
        <w:trPr/>
        <w:tc>
          <w:tcPr>
            <w:tcW w:w="5015" w:type="dxa"/>
            <w:tcBorders/>
            <w:vAlign w:val="center"/>
          </w:tcPr>
          <w:p>
            <w:pPr>
              <w:pStyle w:val="TableContents"/>
              <w:bidi w:val="0"/>
              <w:spacing w:before="0" w:after="0"/>
              <w:jc w:val="left"/>
              <w:rPr/>
            </w:pPr>
            <w:r>
              <w:rPr/>
              <w:t> </w:t>
            </w:r>
          </w:p>
          <w:tbl>
            <w:tblPr>
              <w:tblW w:w="4861" w:type="dxa"/>
              <w:jc w:val="left"/>
              <w:tblInd w:w="0" w:type="dxa"/>
              <w:tblLayout w:type="fixed"/>
              <w:tblCellMar>
                <w:top w:w="28" w:type="dxa"/>
                <w:left w:w="28" w:type="dxa"/>
                <w:bottom w:w="28" w:type="dxa"/>
                <w:right w:w="28" w:type="dxa"/>
              </w:tblCellMar>
            </w:tblPr>
            <w:tblGrid>
              <w:gridCol w:w="4861"/>
            </w:tblGrid>
            <w:tr>
              <w:trPr/>
              <w:tc>
                <w:tcPr>
                  <w:tcW w:w="4861" w:type="dxa"/>
                  <w:tcBorders/>
                  <w:vAlign w:val="center"/>
                </w:tcPr>
                <w:p>
                  <w:pPr>
                    <w:pStyle w:val="TableContents"/>
                    <w:bidi w:val="0"/>
                    <w:spacing w:before="0" w:after="0"/>
                    <w:jc w:val="left"/>
                    <w:rPr/>
                  </w:pPr>
                  <w:r>
                    <w:rPr/>
                    <w:t>DRIEHAUS CAPITAL MANAGEMENT LLC</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Janet McWilliams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General Counsel</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920</Words>
  <Characters>4663</Characters>
  <CharactersWithSpaces>5573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