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43"/>
          <w:szCs w:val="43"/>
          <w:b w:val="1"/>
          <w:bCs w:val="1"/>
          <w:color w:val="auto"/>
        </w:rPr>
        <w:t>Cue Biopharma,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8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001-38327</w:t>
            </w:r>
          </w:p>
        </w:tc>
        <w:tc>
          <w:tcPr>
            <w:tcW w:w="2820" w:type="dxa"/>
            <w:vAlign w:val="bottom"/>
          </w:tcPr>
          <w:p>
            <w:pPr>
              <w:jc w:val="center"/>
              <w:ind w:left="1621"/>
              <w:spacing w:after="0"/>
              <w:rPr>
                <w:sz w:val="20"/>
                <w:szCs w:val="20"/>
                <w:color w:val="auto"/>
              </w:rPr>
            </w:pPr>
            <w:r>
              <w:rPr>
                <w:rFonts w:ascii="Times New Roman" w:cs="Times New Roman" w:eastAsia="Times New Roman" w:hAnsi="Times New Roman"/>
                <w:sz w:val="18"/>
                <w:szCs w:val="18"/>
                <w:b w:val="1"/>
                <w:bCs w:val="1"/>
                <w:color w:val="auto"/>
              </w:rPr>
              <w:t>47-3324577</w:t>
            </w:r>
          </w:p>
        </w:tc>
      </w:tr>
      <w:tr>
        <w:trPr>
          <w:trHeight w:val="149"/>
        </w:trPr>
        <w:tc>
          <w:tcPr>
            <w:tcW w:w="358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0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20" w:type="dxa"/>
            <w:vAlign w:val="bottom"/>
          </w:tcPr>
          <w:p>
            <w:pPr>
              <w:jc w:val="center"/>
              <w:ind w:left="16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20" w:type="dxa"/>
            <w:vAlign w:val="bottom"/>
          </w:tcPr>
          <w:p>
            <w:pPr>
              <w:jc w:val="center"/>
              <w:ind w:left="16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25"/>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 Guest Street</w:t>
            </w:r>
          </w:p>
        </w:tc>
        <w:tc>
          <w:tcPr>
            <w:tcW w:w="2500" w:type="dxa"/>
            <w:vAlign w:val="bottom"/>
          </w:tcPr>
          <w:p>
            <w:pPr>
              <w:spacing w:after="0"/>
              <w:rPr>
                <w:sz w:val="24"/>
                <w:szCs w:val="24"/>
                <w:color w:val="auto"/>
              </w:rPr>
            </w:pPr>
          </w:p>
        </w:tc>
        <w:tc>
          <w:tcPr>
            <w:tcW w:w="282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02135</w:t>
            </w:r>
          </w:p>
        </w:tc>
      </w:tr>
      <w:tr>
        <w:trPr>
          <w:trHeight w:val="21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2500" w:type="dxa"/>
            <w:vAlign w:val="bottom"/>
          </w:tcPr>
          <w:p>
            <w:pPr>
              <w:spacing w:after="0"/>
              <w:rPr>
                <w:sz w:val="18"/>
                <w:szCs w:val="18"/>
                <w:color w:val="auto"/>
              </w:rPr>
            </w:pPr>
          </w:p>
        </w:tc>
        <w:tc>
          <w:tcPr>
            <w:tcW w:w="28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00" w:type="dxa"/>
            <w:vAlign w:val="bottom"/>
          </w:tcPr>
          <w:p>
            <w:pPr>
              <w:spacing w:after="0"/>
              <w:rPr>
                <w:sz w:val="16"/>
                <w:szCs w:val="16"/>
                <w:color w:val="auto"/>
              </w:rPr>
            </w:pPr>
          </w:p>
        </w:tc>
        <w:tc>
          <w:tcPr>
            <w:tcW w:w="2820" w:type="dxa"/>
            <w:vAlign w:val="bottom"/>
          </w:tcPr>
          <w:p>
            <w:pPr>
              <w:spacing w:after="0"/>
              <w:rPr>
                <w:sz w:val="16"/>
                <w:szCs w:val="16"/>
                <w:color w:val="auto"/>
              </w:rPr>
            </w:pPr>
          </w:p>
        </w:tc>
      </w:tr>
    </w:tbl>
    <w:p>
      <w:pPr>
        <w:spacing w:after="0" w:line="17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(617) 949-2680</w:t>
      </w:r>
    </w:p>
    <w:p>
      <w:pPr>
        <w:spacing w:after="0" w:line="3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 w:name="page2"/>
    <w:bookmarkEnd w:id="1"/>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6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6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CUE</w:t>
            </w:r>
          </w:p>
        </w:tc>
        <w:tc>
          <w:tcPr>
            <w:tcW w:w="10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1675765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24, 2025, Cue Biopharma, Inc. (the “Company”) made publicly available on its website an updated corporate presentation. A copy of the presentation is furnished as Exhibit 99.1 hereto and is incorporated herein by reference.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Item 7.01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4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00" w:type="dxa"/>
            <w:vAlign w:val="bottom"/>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64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Corporate Presentation, dated November 24, 2025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600" w:type="dxa"/>
            <w:vAlign w:val="bottom"/>
            <w:tcBorders>
              <w:right w:val="single" w:sz="8" w:color="0000EE"/>
            </w:tcBorders>
            <w:shd w:val="clear" w:color="auto" w:fill="0000FF"/>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640"/>
        </w:trPr>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Cue Biopharma, Inc.</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24, 2025</w:t>
            </w: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Usman Azam</w:t>
            </w:r>
          </w:p>
        </w:tc>
      </w:tr>
      <w:tr>
        <w:trPr>
          <w:trHeight w:val="20"/>
        </w:trPr>
        <w:tc>
          <w:tcPr>
            <w:tcW w:w="3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r>
      <w:tr>
        <w:trPr>
          <w:trHeight w:val="191"/>
        </w:trPr>
        <w:tc>
          <w:tcPr>
            <w:tcW w:w="3820" w:type="dxa"/>
            <w:vAlign w:val="bottom"/>
          </w:tcPr>
          <w:p>
            <w:pPr>
              <w:spacing w:after="0"/>
              <w:rPr>
                <w:sz w:val="16"/>
                <w:szCs w:val="16"/>
                <w:color w:val="auto"/>
              </w:rPr>
            </w:pPr>
          </w:p>
        </w:tc>
        <w:tc>
          <w:tcPr>
            <w:tcW w:w="7420" w:type="dxa"/>
            <w:vAlign w:val="bottom"/>
            <w:gridSpan w:val="2"/>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 Usman Azam</w:t>
            </w:r>
          </w:p>
        </w:tc>
      </w:tr>
      <w:tr>
        <w:trPr>
          <w:trHeight w:val="234"/>
        </w:trPr>
        <w:tc>
          <w:tcPr>
            <w:tcW w:w="382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1640"/>
        </w:trPr>
        <w:tc>
          <w:tcPr>
            <w:tcW w:w="38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ind w:left="9060"/>
        <w:spacing w:after="0"/>
        <w:rPr>
          <w:sz w:val="20"/>
          <w:szCs w:val="20"/>
          <w:color w:val="auto"/>
        </w:rPr>
      </w:pPr>
      <w:r>
        <w:rPr>
          <w:rFonts w:ascii="Times New Roman" w:cs="Times New Roman" w:eastAsia="Times New Roman" w:hAnsi="Times New Roman"/>
          <w:sz w:val="21"/>
          <w:szCs w:val="2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7926705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155575</wp:posOffset>
            </wp:positionV>
            <wp:extent cx="6172200" cy="7029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7029450"/>
                    </a:xfrm>
                    <a:prstGeom prst="rect">
                      <a:avLst/>
                    </a:prstGeom>
                    <a:noFill/>
                  </pic:spPr>
                </pic:pic>
              </a:graphicData>
            </a:graphic>
          </wp:anchor>
        </w:drawing>
      </w:r>
    </w:p>
    <w:p>
      <w:pPr>
        <w:sectPr>
          <w:pgSz w:w="11900" w:h="16838" w:orient="portrait"/>
          <w:cols w:equalWidth="0" w:num="1">
            <w:col w:w="10120"/>
          </w:cols>
          <w:pgMar w:left="1440" w:top="760"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7877175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6909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7902575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6934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7842885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6875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6875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7894320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6926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692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7885430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6917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7903210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6934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7997190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6892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6892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4422775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54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54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7911465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6943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6943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8348980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69691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0" cy="6969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7928610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6960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0" cy="6960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7903210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69348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0"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4971415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54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54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2025-11-24T11:30:34Z</dcterms:created>
  <dcterms:modified xsi:type="dcterms:W3CDTF">2025-11-24T11:30:34Z</dcterms:modified>
</cp:coreProperties>
</file>