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110711.xml.htm"/>
      <w:bookmarkStart w:id="1" w:name="ksform407102026_1107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Shao-Lee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327,537</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655,074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327,537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327,537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327,537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that grant of restricted stock units ("RSUs"). The shares subject to the RSUs vest in equal quarterly installments over a period of forty-eight (48) months, measured from the date of grant, subject to the reporting person's continued service with the issuer through each vest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grant of performance stock units ("PSUs"). The PSUs are subject to certain stock-price based vesting conditions with vesting comprised of three substantially equal tranches that are eligible to vest based the achievement of a closing price per share of $33.00, $38.50 and $44.00, in each case for a period of five consecutive trading days. If the stock price targets are not satisfied by the period ending 24 months from the date of grant, the PSUs shall automatically be forfeited and cancelled without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Shao-Lee 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092"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3808</Characters>
  <CharactersWithSpaces>4447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