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7302026_080752.xml.htm"/>
      <w:bookmarkStart w:id="1" w:name="ksform4a07302026_0807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Shao-Lee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06/01/2026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5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711"/>
        <w:gridCol w:w="276"/>
        <w:gridCol w:w="906"/>
        <w:gridCol w:w="801"/>
        <w:gridCol w:w="891"/>
        <w:gridCol w:w="801"/>
        <w:gridCol w:w="801"/>
        <w:gridCol w:w="936"/>
        <w:gridCol w:w="831"/>
        <w:gridCol w:w="90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90,906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45,453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45,453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is filed solely to correct the transaction code reported in Column 4 of Table II. The transactions reported herein were approved by the Issuer's board of directors pursuant to Rule 16b-3 under the Securities Exchange Act of 1934, as amended, prior to the issuance of the applicable securities. All other information in the original filing remains unchanged.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April 30, 2026, the Issuer entered into a securities purchase agreement (the "Purchase Agreement") with certain accredited investors, including the Reporting Person. Pursuant to the terms of the Purchase Agreement, the Issuer issued and sold pre-funded warrants and accompanying warrants to purchase shares of common stock in a private placement that closed on May 4, 2026. The purchase price for each pre-funded warrant and accompanying warrants to purchase one-half of one share of common stock was $11.00. The pre-funded warrants and accompanying warrants became exercisable on June 1, 2026, following approval by the Issuer's stockholders of the issuance of common stock upon exercise of the pre-funded warrants and accompanying warrants in accordance with applicable listing rules of the Nasdaq Stock Market, including Nasdaq Listing Rule 5636, at the Issuer's Special Meeting of Stockholders held on June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the Shao-Lee Lin Trust, DTD 3/13/2023.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Shao-Lee 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092"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4457</Characters>
  <CharactersWithSpaces>5184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