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ue-20260601.htm"/>
      <w:bookmarkStart w:id="1" w:name="kscue20260601"/>
      <w:bookmarkEnd w:id="0"/>
      <w:bookmarkEnd w:id="1"/>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36"/>
        </w:rPr>
        <w:t>FORM 8-K</w:t>
      </w:r>
      <w:r>
        <w:rPr>
          <w:rFonts w:ascii="Times New Roman" w:hAnsi="Times New Roman"/>
          <w:color w:val="000000"/>
          <w:sz w:val="20"/>
        </w:rPr>
        <w:t xml:space="preserve"> </w:t>
      </w:r>
    </w:p>
    <w:p>
      <w:pPr>
        <w:pStyle w:val="TextBody"/>
        <w:bidi w:val="0"/>
        <w:spacing w:before="180" w:after="283"/>
        <w:jc w:val="center"/>
        <w:rPr>
          <w:rFonts w:ascii="Times New Roman" w:hAnsi="Times New Roman"/>
          <w:sz w:val="20"/>
        </w:rPr>
      </w:pPr>
      <w:r>
        <w:rPr>
          <w:rFonts w:ascii="Times New Roman" w:hAnsi="Times New Roman"/>
          <w:b/>
          <w:color w:val="000000"/>
          <w:sz w:val="24"/>
        </w:rPr>
        <w:t>CURRENT REPORT</w:t>
      </w:r>
      <w:r>
        <w:rPr>
          <w:rFonts w:ascii="Times New Roman" w:hAnsi="Times New Roman"/>
          <w:color w:val="000000"/>
          <w:sz w:val="20"/>
        </w:rPr>
        <w:t xml:space="preserve"> </w:t>
      </w:r>
    </w:p>
    <w:p>
      <w:pPr>
        <w:pStyle w:val="TextBody"/>
        <w:bidi w:val="0"/>
        <w:spacing w:before="160" w:after="283"/>
        <w:jc w:val="center"/>
        <w:rPr>
          <w:rFonts w:ascii="Times New Roman" w:hAnsi="Times New Roman"/>
          <w:sz w:val="20"/>
        </w:rPr>
      </w:pPr>
      <w:r>
        <w:rPr>
          <w:rFonts w:ascii="Times New Roman" w:hAnsi="Times New Roman"/>
          <w:b/>
          <w:color w:val="000000"/>
          <w:sz w:val="24"/>
        </w:rPr>
        <w:t>Pursuant to Section 13 or 15(d) of the Securities Exchange Act of 1934</w:t>
      </w:r>
      <w:r>
        <w:rPr>
          <w:rFonts w:ascii="Times New Roman" w:hAnsi="Times New Roman"/>
          <w:color w:val="000000"/>
          <w:sz w:val="20"/>
        </w:rPr>
        <w:t xml:space="preserve"> </w:t>
      </w:r>
    </w:p>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Date of Report (Date of earliest event reported): June 1, 2026</w:t>
      </w:r>
    </w:p>
    <w:p>
      <w:pPr>
        <w:pStyle w:val="TextBody"/>
        <w:bidi w:val="0"/>
        <w:spacing w:before="160" w:after="283"/>
        <w:jc w:val="center"/>
        <w:rPr>
          <w:rFonts w:ascii="Times New Roman" w:hAnsi="Times New Roman"/>
          <w:b/>
          <w:color w:val="000000"/>
          <w:sz w:val="48"/>
        </w:rPr>
      </w:pPr>
      <w:r>
        <w:rPr>
          <w:rFonts w:ascii="Times New Roman" w:hAnsi="Times New Roman"/>
          <w:b/>
          <w:color w:val="000000"/>
          <w:sz w:val="48"/>
        </w:rPr>
        <w:t>Cue Biopharma, Inc.</w:t>
      </w:r>
    </w:p>
    <w:p>
      <w:pPr>
        <w:pStyle w:val="TextBody"/>
        <w:bidi w:val="0"/>
        <w:jc w:val="center"/>
        <w:rPr>
          <w:rFonts w:ascii="Times New Roman" w:hAnsi="Times New Roman"/>
          <w:sz w:val="20"/>
        </w:rPr>
      </w:pPr>
      <w:r>
        <w:rPr>
          <w:rFonts w:ascii="Times New Roman" w:hAnsi="Times New Roman"/>
          <w:b/>
          <w:color w:val="000000"/>
          <w:sz w:val="16"/>
        </w:rPr>
        <w:t>(Exact name of Registrant as Specified in Its Charter)</w:t>
      </w:r>
      <w:r>
        <w:rPr>
          <w:rFonts w:ascii="Times New Roman" w:hAnsi="Times New Roman"/>
          <w:color w:val="000000"/>
          <w:sz w:val="20"/>
        </w:rPr>
        <w:t xml:space="preserve">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001-38327</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47-3324577</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40 Guest Street</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Boston, Massachusetts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02135</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60" w:after="283"/>
        <w:jc w:val="center"/>
        <w:rPr>
          <w:rFonts w:ascii="Times New Roman" w:hAnsi="Times New Roman"/>
          <w:b/>
          <w:color w:val="000000"/>
          <w:sz w:val="20"/>
        </w:rPr>
      </w:pPr>
      <w:r>
        <w:rPr>
          <w:rFonts w:ascii="Times New Roman" w:hAnsi="Times New Roman"/>
          <w:b/>
          <w:color w:val="000000"/>
          <w:sz w:val="20"/>
        </w:rPr>
        <w:t>Registrant’s Telephone Number, Including Area Code: (617) 949-2680</w:t>
      </w:r>
    </w:p>
    <w:p>
      <w:pPr>
        <w:pStyle w:val="TextBody"/>
        <w:bidi w:val="0"/>
        <w:spacing w:before="160" w:after="283"/>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5"/>
        </w:rPr>
        <w:t>(Former Name or Former Address, if Changed Since Last Report)</w:t>
      </w:r>
      <w:r>
        <w:rPr>
          <w:rFonts w:ascii="Times New Roman" w:hAnsi="Times New Roman"/>
          <w:color w:val="000000"/>
          <w:sz w:val="20"/>
        </w:rPr>
        <w:t xml:space="preserve"> </w:t>
      </w:r>
    </w:p>
    <w:p>
      <w:pPr>
        <w:pStyle w:val="TextBody"/>
        <w:bidi w:val="0"/>
        <w:spacing w:before="160" w:after="283"/>
        <w:jc w:val="left"/>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331"/>
        <w:gridCol w:w="8146"/>
      </w:tblGrid>
      <w:tr>
        <w:trPr/>
        <w:tc>
          <w:tcPr>
            <w:tcW w:w="33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814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 xml:space="preserve">Pre-commencement communications pursuant to Rule 13e-4(c) under the Exchange Act (17 CFR 240.13e-4(c)) </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16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16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5.02. Departure of Directors or Certain Officers; Election of Directors; Appointment of Certain Officers; Compensatory Arrangements of Certain Officers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Special Meeting of Stockholders of Cue Biopharma, Inc. (the “Company”) held on June 1, 2026 (the “Special Meeting”), the Company’s stockholders approved the Cue Biopharma, Inc. 2026 Stock Incentive Plan (the “2026 Plan”), which had previously been adopted by the Board, subject to stockholder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description of the 2026 Plan contained on pages 16-31 of the Company’s definitive proxy statement for the Special Meeting, filed with the Securities and Exchange Commission on May 21, 2026 (the “Proxy Statement”), is incorporated herein by reference. A complete copy of the 2026 Plan is attached hereto as Exhibit 10.1 and is incorporated herein by reference.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certified results of the matters voted upon at the Special Meeting, which are more fully described in the Proxy Statement are as follows (where applicable, voting results reflect fractional shares rounded down to the nearest whole share): </w:t>
      </w:r>
    </w:p>
    <w:p>
      <w:pPr>
        <w:pStyle w:val="TextBody"/>
        <w:bidi w:val="0"/>
        <w:jc w:val="left"/>
        <w:rPr>
          <w:rFonts w:ascii="Times New Roman" w:hAnsi="Times New Roman"/>
          <w:color w:val="000000"/>
          <w:sz w:val="20"/>
        </w:rPr>
      </w:pPr>
      <w:r>
        <w:rPr>
          <w:rFonts w:ascii="Times New Roman" w:hAnsi="Times New Roman"/>
          <w:color w:val="000000"/>
          <w:sz w:val="20"/>
        </w:rPr>
        <w:t xml:space="preserve">1. The Company’s stockholders approved, in accordance with Nasdaq Listing Rule 5635(a), (c) and (d), the issuance of shares of common stock upon the exercise of certain warrants issued by the Company in May 2026 in connection with a licensing transaction and related private placement (“Proposal 1”), with votes cast as follows: </w:t>
      </w:r>
    </w:p>
    <w:tbl>
      <w:tblPr>
        <w:tblW w:w="4391" w:type="dxa"/>
        <w:jc w:val="left"/>
        <w:tblInd w:w="0" w:type="dxa"/>
        <w:tblLayout w:type="fixed"/>
        <w:tblCellMar>
          <w:top w:w="28" w:type="dxa"/>
          <w:left w:w="28" w:type="dxa"/>
          <w:bottom w:w="28" w:type="dxa"/>
          <w:right w:w="28" w:type="dxa"/>
        </w:tblCellMar>
      </w:tblPr>
      <w:tblGrid>
        <w:gridCol w:w="1081"/>
        <w:gridCol w:w="146"/>
        <w:gridCol w:w="886"/>
        <w:gridCol w:w="146"/>
        <w:gridCol w:w="661"/>
        <w:gridCol w:w="14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Abstain</w:t>
            </w:r>
          </w:p>
        </w:tc>
        <w:tc>
          <w:tcPr>
            <w:tcW w:w="14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1,782,133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113,311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1,013</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The Company’s stockholders approved the 2026 Plan (“Proposal 2”), with votes cast as follows: </w:t>
      </w:r>
    </w:p>
    <w:tbl>
      <w:tblPr>
        <w:tblW w:w="4391" w:type="dxa"/>
        <w:jc w:val="left"/>
        <w:tblInd w:w="0" w:type="dxa"/>
        <w:tblLayout w:type="fixed"/>
        <w:tblCellMar>
          <w:top w:w="28" w:type="dxa"/>
          <w:left w:w="28" w:type="dxa"/>
          <w:bottom w:w="28" w:type="dxa"/>
          <w:right w:w="28" w:type="dxa"/>
        </w:tblCellMar>
      </w:tblPr>
      <w:tblGrid>
        <w:gridCol w:w="1081"/>
        <w:gridCol w:w="146"/>
        <w:gridCol w:w="886"/>
        <w:gridCol w:w="146"/>
        <w:gridCol w:w="661"/>
        <w:gridCol w:w="14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Abstain</w:t>
            </w:r>
          </w:p>
        </w:tc>
        <w:tc>
          <w:tcPr>
            <w:tcW w:w="14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1,261,296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632,474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2,687</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The Company’s stockholders approved the adjournment of the Special Meeting to a later date or dates, if necessary or appropriate, to permit further solicitation of proxies in the event that there are insufficient votes for, or otherwise in connection with, Proposal 1 and/or Proposal 2 (“Proposal 3”), with votes cast as follows:</w:t>
      </w:r>
    </w:p>
    <w:p>
      <w:pPr>
        <w:pStyle w:val="TextBody"/>
        <w:bidi w:val="0"/>
        <w:spacing w:before="120" w:after="283"/>
        <w:jc w:val="left"/>
        <w:rPr/>
      </w:pPr>
      <w:r>
        <w:rPr/>
        <w:t> </w:t>
      </w:r>
    </w:p>
    <w:tbl>
      <w:tblPr>
        <w:tblW w:w="4496" w:type="dxa"/>
        <w:jc w:val="left"/>
        <w:tblInd w:w="0" w:type="dxa"/>
        <w:tblLayout w:type="fixed"/>
        <w:tblCellMar>
          <w:top w:w="28" w:type="dxa"/>
          <w:left w:w="28" w:type="dxa"/>
          <w:bottom w:w="28" w:type="dxa"/>
          <w:right w:w="28" w:type="dxa"/>
        </w:tblCellMar>
      </w:tblPr>
      <w:tblGrid>
        <w:gridCol w:w="1081"/>
        <w:gridCol w:w="146"/>
        <w:gridCol w:w="886"/>
        <w:gridCol w:w="146"/>
        <w:gridCol w:w="766"/>
        <w:gridCol w:w="147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For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Against</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Abstain</w:t>
            </w:r>
          </w:p>
        </w:tc>
        <w:tc>
          <w:tcPr>
            <w:tcW w:w="1471"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Broker Non-Votes</w:t>
            </w:r>
          </w:p>
        </w:tc>
      </w:tr>
      <w:tr>
        <w:trPr/>
        <w:tc>
          <w:tcPr>
            <w:tcW w:w="108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1,302,751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582,084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11,622</w:t>
            </w:r>
          </w:p>
        </w:tc>
        <w:tc>
          <w:tcPr>
            <w:tcW w:w="147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Because there were sufficient votes at the time of the Special Meeting to approve each of Proposal 1 and Proposal 2, a vote on Proposal 3, which was approved, was not necessary or applicable.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2"/>
        <w:gridCol w:w="109"/>
        <w:gridCol w:w="9194"/>
      </w:tblGrid>
      <w:tr>
        <w:trPr/>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4" w:type="dxa"/>
            <w:tcBorders/>
            <w:vAlign w:val="center"/>
          </w:tcPr>
          <w:p>
            <w:pPr>
              <w:pStyle w:val="TableContents"/>
              <w:bidi w:val="0"/>
              <w:spacing w:before="0" w:after="283"/>
              <w:jc w:val="left"/>
              <w:rPr>
                <w:sz w:val="4"/>
                <w:szCs w:val="4"/>
              </w:rPr>
            </w:pPr>
            <w:r>
              <w:rPr>
                <w:sz w:val="4"/>
                <w:szCs w:val="4"/>
              </w:rPr>
            </w:r>
          </w:p>
        </w:tc>
      </w:tr>
      <w:tr>
        <w:trPr/>
        <w:tc>
          <w:tcPr>
            <w:tcW w:w="902"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94"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Cue Biopharma, Inc. 2026 Stock Incentive Plan (incorporated by reference to Appendix A to the Company’s definitive proxy statement (File No. 001-38327) filed with the Securities and Exchange Commission on May 21, 2026)</w:t>
              </w:r>
            </w:hyperlink>
          </w:p>
        </w:tc>
      </w:tr>
      <w:tr>
        <w:trPr/>
        <w:tc>
          <w:tcPr>
            <w:tcW w:w="90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tbl>
      <w:tblPr>
        <w:tblW w:w="5815" w:type="dxa"/>
        <w:jc w:val="left"/>
        <w:tblInd w:w="0" w:type="dxa"/>
        <w:tblLayout w:type="fixed"/>
        <w:tblCellMar>
          <w:top w:w="28" w:type="dxa"/>
          <w:left w:w="28" w:type="dxa"/>
          <w:bottom w:w="28" w:type="dxa"/>
          <w:right w:w="28" w:type="dxa"/>
        </w:tblCellMar>
      </w:tblPr>
      <w:tblGrid>
        <w:gridCol w:w="1636"/>
        <w:gridCol w:w="146"/>
        <w:gridCol w:w="631"/>
        <w:gridCol w:w="146"/>
        <w:gridCol w:w="325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Cue Biopharma, Inc.</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340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June 3,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Shao-Lee Lin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Shao-Lee Lin</w:t>
            </w:r>
          </w:p>
        </w:tc>
      </w:tr>
      <w:tr>
        <w:trPr/>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President and Chief Executive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45460/000119312526233369/d38874ddef14a.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768</Words>
  <Characters>4207</Characters>
  <CharactersWithSpaces>4955</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