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100832.xml.htm"/>
      <w:bookmarkStart w:id="1" w:name="ksform408172026_1008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 Sumita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Compliance Officer</w:t>
                  </w:r>
                  <w:r>
                    <w:rPr/>
                    <w:t xml:space="preserve"> / </w:t>
                  </w:r>
                  <w:r>
                    <w:rPr>
                      <w:rFonts w:ascii="Times;serif" w:hAnsi="Times;serif"/>
                      <w:color w:val="0000FF"/>
                      <w:sz w:val="24"/>
                      <w:shd w:fill="FFFFFF" w:val="clear"/>
                    </w:rPr>
                    <w:t>Corporate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18,196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30.35</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118,549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118,545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18,196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represents shares sold by the Reporting Person to cover tax withholding obligations in connection with the vesting and settlement of restricted stock units. The sales were to satisfy tax withholding obligations to be funded by a "sell-to-cover" transaction and do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block trades for multiple security holders of the Issuer at prices ranging from $28.97 to $29.96,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block trades for multiple security holders of the Issuer at prices ranging from $29.99 to $30.97,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performance stock units ("PSU") were awarded subject to certain stock-price based vesting conditions with vesting comprised of three substantially equal tranches that are eligible to vest based the achievement of a closing price per share of $33.00, $38.50 and $44.00, in each case for a period of five consecutive trading days. If the stock price targets are not satisfied by the period ending 24 months from the date of grant, the PSUs shall automatically be forfeited and cancelled without consideration. The award settled with respect to 1/3 of the PSUs underlying the award on August 13, 2026. The remaining 2/3 of the PSUs underlying the award are expected to settle on the achievement of a closing price per share of $38.50 and $44.00, in each case for a period of five consecutive trading days.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Sumita Ray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629"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5093</Characters>
  <CharactersWithSpaces>5951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