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158750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168910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Cue Biopharma, Inc.</w:t>
      </w:r>
    </w:p>
    <w:p>
      <w:pPr>
        <w:spacing w:after="0" w:line="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2319020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1569085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0000"/>
        </w:rPr>
        <w:t>PRELIMINARY PROXY STATEMENT SUBJECT TO COMPLETION DATED APRIL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9810" cy="142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 Guest Street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02135</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Wednesday, June 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You are cordially invited to the 2025 Annual Meeting of Stockholders, or the Annual Meeting, of Cue Biopharma, Inc. The Annual Meeting will be held exclusively via the Internet in a virtual meeting format at </w:t>
      </w:r>
      <w:r>
        <w:rPr>
          <w:rFonts w:ascii="Times New Roman" w:cs="Times New Roman" w:eastAsia="Times New Roman" w:hAnsi="Times New Roman"/>
          <w:sz w:val="18"/>
          <w:szCs w:val="18"/>
          <w:i w:val="1"/>
          <w:iCs w:val="1"/>
          <w:color w:val="auto"/>
        </w:rPr>
        <w:t>www.virtualshareholdermeeting.com/CUE2025</w:t>
      </w:r>
      <w:r>
        <w:rPr>
          <w:rFonts w:ascii="Times New Roman" w:cs="Times New Roman" w:eastAsia="Times New Roman" w:hAnsi="Times New Roman"/>
          <w:sz w:val="18"/>
          <w:szCs w:val="18"/>
          <w:color w:val="auto"/>
        </w:rPr>
        <w:t xml:space="preserve"> on Wednesday, June 4, 2025 at 9:00 a.m. Eastern Time. The stockholders will consider and vote on the following matters:</w:t>
      </w:r>
    </w:p>
    <w:p>
      <w:pPr>
        <w:spacing w:after="0" w:line="68" w:lineRule="exact"/>
        <w:rPr>
          <w:sz w:val="20"/>
          <w:szCs w:val="20"/>
          <w:color w:val="auto"/>
        </w:rPr>
      </w:pPr>
    </w:p>
    <w:p>
      <w:pPr>
        <w:jc w:val="both"/>
        <w:ind w:left="520" w:right="14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approve an amendment to our Amended and Restated Certificate of Incorporation, as amended, to increase the number of authorized shares of our capital stock from 210,000,000 to 310,000,000 and increase the number of authorized shares of our common stock from 200,000,000 to 300,000,000 (Proposal 1);</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six nominees to the Board of Directors (Proposal 2);</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RSM US LLP as our independent registered public accounting firm for the fiscal year ending December 31, 2025 (Proposal 3);</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(Proposal 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Cue Biopharma, Inc. 2025 Stock Incentive Plan (Proposal 5);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that may properly come before the Annual Meeting or any adjournment or postponement thereof.</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stockholders of record as of the close of business on April 11, 2025, or the record date, are entitled to participate in and vote at the Annual Meeting. To participate in the Annual Meeting, including to vote and ask questions, stockholders of record should go to the meeting website at www.virtualshareholdermeeting.com/CUE2025, enter the 16-digit control number found on your proxy card, voting instruction form, or Notice Regarding Internet Availability of Proxy Materials and follow the instructions on the website.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Instead of mailing to our stockholders a printed copy of our proxy materials, including this Proxy Statement, our 2024 Annual Report to Stockholders, which includes our Annual Report on Form 10-K for the fiscal year ended December 31, 2024, and a proxy card, we provide access to these materials over the Internet. We believe that providing our proxy materials over the Internet expedites stockholders’ receipt of proxy materials, lowers costs and reduces the environmental impact of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all stockholders to attend the Annual Meeting online. However, whether or not you plan to attend the Annual Meeting online, we encourage you to read the Proxy Statement and submit your proxy or voting instructions as soon as possible. Please review the instructions on how to vote your shares online during the Annual Meeting as described in the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Colin Sandercock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Sandercock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[__], 2025</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for the 2025 Annual Meeting of Stockholders to be Held on June 4, 2025: </w:t>
      </w:r>
      <w:r>
        <w:rPr>
          <w:rFonts w:ascii="Times New Roman" w:cs="Times New Roman" w:eastAsia="Times New Roman" w:hAnsi="Times New Roman"/>
          <w:sz w:val="18"/>
          <w:szCs w:val="18"/>
          <w:color w:val="auto"/>
        </w:rPr>
        <w:t>You will be able to view the Notice Regarding Internet Availability of Proxy Materials, this Proxy Statement, our 2024 Annual Report to Stockholders, which includes our Annual Report on Form 10-K for the fiscal year ended December 31, 2024, and a proxy card online at www.proxyvote.com or you can receive a free paper or email copy of the materials by requesting such materials. If you would like to request a copy of the materials for this and/or future stockholder meetings, you may (1) visit www.proxyvote.com; (2) call 1-800-579-1639; or (3) send an email to sendmaterial@proxyvote.com.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4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INFORMATION CONCERNING SOLICITATION AND VOTING</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6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GENERAL INFORMATION ABOUT THE ANNUAL MEETING AND VOTING</w:t>
            </w:r>
          </w:p>
        </w:tc>
        <w:tc>
          <w:tcPr>
            <w:tcW w:w="4220" w:type="dxa"/>
            <w:vAlign w:val="bottom"/>
            <w:gridSpan w:val="5"/>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988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rPr>
              <w:t>PROPOSAL 1: ADOPTION AND APPROVAL OF AN AMENDMENT TO OUR AMENDED AND RESTATED CERTIFICATE OF</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00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INCORPORATION, AS AMENDED, TO INCREASE THE NUMBER OF AUTHORIZED SHARES OF OUR CAPITAL STOCK AND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0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2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3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PROPOSAL 2: ELECTION OF DIRECTORS</w:t>
            </w:r>
          </w:p>
        </w:tc>
        <w:tc>
          <w:tcPr>
            <w:tcW w:w="6900" w:type="dxa"/>
            <w:vAlign w:val="bottom"/>
            <w:gridSpan w:val="14"/>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7900" w:type="dxa"/>
            <w:vAlign w:val="bottom"/>
            <w:gridSpan w:val="16"/>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2"/>
        </w:trPr>
        <w:tc>
          <w:tcPr>
            <w:tcW w:w="19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20" w:type="dxa"/>
            <w:vAlign w:val="bottom"/>
            <w:tcBorders>
              <w:bottom w:val="single" w:sz="8" w:color="0000EE"/>
            </w:tcBorders>
          </w:tcPr>
          <w:p>
            <w:pPr>
              <w:spacing w:after="0"/>
              <w:rPr>
                <w:sz w:val="24"/>
                <w:szCs w:val="24"/>
                <w:color w:val="auto"/>
              </w:rPr>
            </w:pPr>
          </w:p>
        </w:tc>
        <w:tc>
          <w:tcPr>
            <w:tcW w:w="8340" w:type="dxa"/>
            <w:vAlign w:val="bottom"/>
            <w:gridSpan w:val="17"/>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2"/>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5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6"/>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3960" w:type="dxa"/>
            <w:vAlign w:val="bottom"/>
            <w:tcBorders>
              <w:top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6320" w:type="dxa"/>
            <w:vAlign w:val="bottom"/>
            <w:gridSpan w:val="11"/>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5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10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8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500" w:type="dxa"/>
            <w:vAlign w:val="bottom"/>
            <w:gridSpan w:val="4"/>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914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PROPOSAL 3: RATIFICATION OF APPOINTMENT OF INDEPENDENT REGISTERED PUBLIC ACCOUNTING FIRM</w:t>
            </w:r>
          </w:p>
        </w:tc>
        <w:tc>
          <w:tcPr>
            <w:tcW w:w="1140" w:type="dxa"/>
            <w:vAlign w:val="bottom"/>
            <w:gridSpan w:val="2"/>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44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PROPOSAL 4: ADVISORY VOTE ON EXECUTIVE COMPENSATION</w:t>
            </w:r>
          </w:p>
        </w:tc>
        <w:tc>
          <w:tcPr>
            <w:tcW w:w="4840" w:type="dxa"/>
            <w:vAlign w:val="bottom"/>
            <w:gridSpan w:val="7"/>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PROPOSAL 5: APPROVAL OF CUE BIOPHARMA, INC. 2025 STOCK INCENTIVE PLAN</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6920" w:type="dxa"/>
            <w:vAlign w:val="bottom"/>
            <w:tcBorders>
              <w:top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rPr>
              <w:t>STOCKHOLDER PROPOSALS FOR OUR 2026 ANNUAL MEETING</w:t>
            </w:r>
          </w:p>
        </w:tc>
        <w:tc>
          <w:tcPr>
            <w:tcW w:w="3360" w:type="dxa"/>
            <w:vAlign w:val="bottom"/>
            <w:gridSpan w:val="3"/>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28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HOUSEHOLDING OF ANNUAL MEETING MATERIALS</w:t>
            </w:r>
          </w:p>
        </w:tc>
        <w:tc>
          <w:tcPr>
            <w:tcW w:w="5000" w:type="dxa"/>
            <w:vAlign w:val="bottom"/>
            <w:gridSpan w:val="8"/>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444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OTHER MATTERS</w:t>
            </w:r>
          </w:p>
        </w:tc>
        <w:tc>
          <w:tcPr>
            <w:tcW w:w="5840" w:type="dxa"/>
            <w:vAlign w:val="bottom"/>
            <w:gridSpan w:val="10"/>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5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APPENDIX A: CERTIFICATE OF AMENDMENT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3840" w:type="dxa"/>
            <w:vAlign w:val="bottom"/>
            <w:tcBorders>
              <w:left w:val="single" w:sz="8" w:color="0000EE"/>
              <w:right w:val="single" w:sz="8" w:color="0000EE"/>
            </w:tcBorders>
            <w:gridSpan w:val="11"/>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APPENDIX B: CUE BIOPHARMA, INC. 2025 STOCK INCENTIVE PLAN</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1431"/>
        </w:trPr>
        <w:tc>
          <w:tcPr>
            <w:tcW w:w="240" w:type="dxa"/>
            <w:vAlign w:val="bottom"/>
            <w:tcBorders>
              <w:top w:val="single" w:sz="8" w:color="0000FF"/>
              <w:bottom w:val="single" w:sz="8" w:color="9A9A9A"/>
            </w:tcBorders>
          </w:tcPr>
          <w:p>
            <w:pPr>
              <w:spacing w:after="0"/>
              <w:rPr>
                <w:sz w:val="24"/>
                <w:szCs w:val="24"/>
                <w:color w:val="auto"/>
              </w:rPr>
            </w:pPr>
          </w:p>
        </w:tc>
        <w:tc>
          <w:tcPr>
            <w:tcW w:w="1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705485</wp:posOffset>
            </wp:positionV>
            <wp:extent cx="1019810" cy="142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98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 Guest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02135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THE 2025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Wednesday, June 4,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our 2025 annual meeting of stockholders, or the Annual Meeting. The meeting will be held on Wednesday, June 4, 2025 at 9:00 a.m. Eastern Time. The Annual Meeting will be held exclusively via the Internet in a virtual meeting format at </w:t>
      </w:r>
      <w:r>
        <w:rPr>
          <w:rFonts w:ascii="Times New Roman" w:cs="Times New Roman" w:eastAsia="Times New Roman" w:hAnsi="Times New Roman"/>
          <w:sz w:val="18"/>
          <w:szCs w:val="18"/>
          <w:i w:val="1"/>
          <w:iCs w:val="1"/>
          <w:color w:val="auto"/>
        </w:rPr>
        <w:t>www.virtualshareholdermeeting.com/CUE2025</w:t>
      </w:r>
      <w:r>
        <w:rPr>
          <w:rFonts w:ascii="Times New Roman" w:cs="Times New Roman" w:eastAsia="Times New Roman" w:hAnsi="Times New Roman"/>
          <w:sz w:val="18"/>
          <w:szCs w:val="18"/>
          <w:color w:val="auto"/>
        </w:rPr>
        <w:t>. There will not be a physical meeting location, and stockholders will not be able to attend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person. Except where the context otherwise requires, references to “Cue Biopharma,” “the Company,” “we,” “us,” “our” and similar terms refer to Cue Biopharma, Inc. and its consolidated subsidiary. References to our website are inactive textual references only and the contents of our website are not incorporated by reference into this Proxy Statement.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furnished in connection with the solicitation of proxies by our board of directors for use at the Annual Meeting and at any adjournment or postponement of that meeting. All proxies will be voted in accordance with the instructions they contain. If you do not specify your voting instructions on your proxy, it will be voted in accordance with the recommendations of our board of directors. We are making this Proxy Statement, our 2024 Annual Report to Stockholders, which includes our Annual Report on Form 10-K for the fiscal year ended December 31, 2024, and a proxy card available to stockholders for the first time on or about April [__], 2025.</w:t>
      </w:r>
    </w:p>
    <w:p>
      <w:pPr>
        <w:spacing w:after="0" w:line="17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2024, as filed with the Securities and Exchange Commission, or SEC, except for exhibits, will be furnished without charge to any stockholder upon written or oral request to Secretary, Cue Biopharma, Inc., 40 Guest Street, Boston, Massachusetts 02135, by calling 1-800-579-1639, by emailing sendmaterial@proxyvote.com or by submitting a request over the Internet at www.proxyvote.com. This Proxy Statement and our Annual Report on Form 10-K for the fiscal year ended December 31, 2024 are also available on the SEC’s website at www.sec.gov.</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do I have access to these materials?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have made these proxy materials available to you because our board of directors is soliciting your proxy to vote at the Annual Meeting to be held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Wednesday, June 4, 2025 at 9:00 a.m. Eastern Time, including at any adjournment or postponement of the meeting. As a holder of record of common stock as of the close of business on April 11, 2025, you are invited to attend the Annual Meeting online and are requested to vote on the items of business described in this Proxy Statement. This Proxy Statement includes information that we are required to provide to you under the rules adopted by the SEC and that is designed to assist you in voting your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did I receive a notice in the mail regarding the Internet availability of proxy materials instead of a full set of proxy materials?</w:t>
      </w:r>
    </w:p>
    <w:p>
      <w:pPr>
        <w:spacing w:after="0" w:line="11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 accordance with SEC rules, we have elected to provide access to our proxy materials, including this Proxy Statement and our 2024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over the Internet. Accordingly, we have sent a Notice Regarding Internet Availability of Proxy Materials, or the Notice, to our stockholders of record entitled to vote at the Annual Meeting with instructions for accessing the proxy materials and voting over the Internet or by telephone prior to the Annual Meeting. We will mail the Notice on or about April [__], 2025 to all stockholders entitled to vote at the Annual Meeting.</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stockholders entitled to vote at the Annual Meeting will have the ability to access the proxy materials by visiting the website referred to in the Notice, www.proxyvote.com. This makes the proxy distribution process more efficient and less costly and helps conserve natural resources. These documents are also available to any stockholder who wishes to receive a receive a free paper or email copy by (1) visiting www.proxyvote.com; (2) calling 1-800-579-1639; or (3) sending an email to sendmaterial@proxyvote.com.</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Notice identifies the date and time of, and website for, the Annual Meeting; the matters to be acted upon at the meeting and our board of directors’ recommendation with regard to each matter; and a toll-free telephone number, an email address, and a website where stockholders can request to receive, free of charge, a paper or email copy of the Proxy Statement and our 2024 Annual Report to Stockholders, which paper materials will be accompanied by the proxy card.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vote my shares by filling out and returning the Notice?</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instructions on how to vote over the Internet in advance of the Annual Meeting or during the Annual Meeting. It also provides instructions on how to request to receive, free of charge, a paper copy of proxy materials, which materials will be accompanied by the proxy card.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does it mean if I receive more than one Notice?</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Notices to ensure that all of your shares are voted.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purpose of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At the Annual Meeting, stockholders will consider and vote on the following matters:</w:t>
      </w:r>
    </w:p>
    <w:p>
      <w:pPr>
        <w:spacing w:after="0" w:line="121" w:lineRule="exact"/>
        <w:rPr>
          <w:sz w:val="20"/>
          <w:szCs w:val="20"/>
          <w:color w:val="auto"/>
        </w:rPr>
      </w:pPr>
    </w:p>
    <w:p>
      <w:pPr>
        <w:jc w:val="both"/>
        <w:ind w:left="520" w:right="14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approve an amendment to our Amended and Restated Certificate of Incorporation, as amended, to increase the number of authorized shares of our capital stock from 210,000,000 to 310,000,000 and increase the number of authorized shares of our common stock from 200,000,000 to 300,000,000 (Proposal 1).</w:t>
      </w:r>
    </w:p>
    <w:p>
      <w:pPr>
        <w:spacing w:after="0" w:line="67" w:lineRule="exact"/>
        <w:rPr>
          <w:rFonts w:ascii="Times New Roman" w:cs="Times New Roman" w:eastAsia="Times New Roman" w:hAnsi="Times New Roman"/>
          <w:sz w:val="18"/>
          <w:szCs w:val="18"/>
          <w:color w:val="auto"/>
        </w:rPr>
      </w:pPr>
    </w:p>
    <w:p>
      <w:pPr>
        <w:ind w:left="520" w:right="80" w:hanging="512"/>
        <w:spacing w:after="0" w:line="312"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six directors, Daniel R. Passeri, Peter A. Kiener, Frank Morich, Pamela Garzone, Patrick Verheyen and Pasha Sarraf, for a one-year term expiring at the 2026 annual meeting of stockholders and until their respective successors have duly been elected and qualified (Proposal 2).</w:t>
      </w:r>
    </w:p>
    <w:p>
      <w:pPr>
        <w:spacing w:after="0" w:line="31" w:lineRule="exact"/>
        <w:rPr>
          <w:rFonts w:ascii="Times New Roman" w:cs="Times New Roman" w:eastAsia="Times New Roman" w:hAnsi="Times New Roman"/>
          <w:sz w:val="17"/>
          <w:szCs w:val="17"/>
          <w:color w:val="auto"/>
        </w:rPr>
      </w:pPr>
    </w:p>
    <w:p>
      <w:pPr>
        <w:ind w:left="520" w:right="18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RSM US LLP as our independent registered public accounting firm for the fiscal year ending December 31, 2025 (Proposal 3).</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our named executive officers (Proposal 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Cue Biopharma, Inc. 2025 Stock Incentive Plan (Proposal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that may properly come before the Annual Meeting or any adjournment or postponement thereof.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is the Annual Meeting of stockholders a virtual, online meeting?</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Annual Meeting will be a virtual meeting of stockholders where stockholders will participate by accessing a website using the Internet. There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a physical meeting location. We believe that hosting a virtual meeting will facilitate stockholder attendance and participation at the Annual Meeting by enabling stockholders to participate from any location around the world. The Annual Meeting will be governed by our Rules of Conduct and Procedures which will be posted during the meeting at </w:t>
      </w:r>
      <w:r>
        <w:rPr>
          <w:rFonts w:ascii="Times New Roman" w:cs="Times New Roman" w:eastAsia="Times New Roman" w:hAnsi="Times New Roman"/>
          <w:sz w:val="18"/>
          <w:szCs w:val="18"/>
          <w:i w:val="1"/>
          <w:iCs w:val="1"/>
          <w:color w:val="auto"/>
        </w:rPr>
        <w:t>www.virtualshareholdermeeting.com/CUE2025</w:t>
      </w:r>
      <w:r>
        <w:rPr>
          <w:rFonts w:ascii="Times New Roman" w:cs="Times New Roman" w:eastAsia="Times New Roman" w:hAnsi="Times New Roman"/>
          <w:sz w:val="18"/>
          <w:szCs w:val="18"/>
          <w:color w:val="auto"/>
        </w:rPr>
        <w:t>. We have designed the virtual annual meeting to provide the same rights and opportunities to participate as stockholders would have at an in-person meeting, including the right to vote and ask questions through the virtual meeting platform.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virtually attend the Annual Meeting?</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Stockholders of record as of the close of business on the record date are entitled to participate in and vote at the Annual Meeting. To participate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including to vote and ask questions, stockholders of record should go to the meeting website at www.virtualshareholdermeeting.com/CUE2025, enter the 16-digit control number found on your proxy card, voting instruction form or Notice, and follow the instructions on the website. If your shares are held in street name and your voting instruction form or Notice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brokerage firm or other nominee and obtain a “legal proxy” in order to be able to attend, participate in or vote at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of the Annual Meeting will start on Wednesday, June 4, 2025 at 9:00 a.m. Eastern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117" w:lineRule="exact"/>
        <w:rPr>
          <w:sz w:val="20"/>
          <w:szCs w:val="20"/>
          <w:color w:val="auto"/>
        </w:rPr>
      </w:pPr>
    </w:p>
    <w:p>
      <w:pPr>
        <w:jc w:val="both"/>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Only stockholders of record at the close of business on April 11, 2025, the record date for the Annual Meeting, are entitled to vote at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On this record date, there were 61,819,101 shares of our common stock outstanding. Common stock is our only class of stock outstanding.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do I have?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Each share of our common stock that you own as of the record date, April 11, 2025, entitles you to one vote on each matter that is voted 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my vote important?</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Your vote is important no matter how many shares you own. </w:t>
      </w:r>
      <w:r>
        <w:rPr>
          <w:rFonts w:ascii="Times New Roman" w:cs="Times New Roman" w:eastAsia="Times New Roman" w:hAnsi="Times New Roman"/>
          <w:sz w:val="18"/>
          <w:szCs w:val="18"/>
          <w:color w:val="auto"/>
        </w:rPr>
        <w:t>Please take the time to vote. Take a moment to read the instructions, choose the way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that is the easiest and most convenient for you and cast your vote as soon as possible.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 If you are the “record holder” of your shares, meaning that you own your shares in your own name and not through a bank, brokerage firm or other nominee, you may vote:</w:t>
      </w:r>
    </w:p>
    <w:p>
      <w:pPr>
        <w:spacing w:after="0" w:line="49" w:lineRule="exact"/>
        <w:rPr>
          <w:sz w:val="20"/>
          <w:szCs w:val="20"/>
          <w:color w:val="auto"/>
        </w:rPr>
      </w:pPr>
    </w:p>
    <w:p>
      <w:pPr>
        <w:ind w:left="520" w:right="80" w:hanging="512"/>
        <w:spacing w:after="0" w:line="267"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Internet or by Telephone</w:t>
      </w:r>
      <w:r>
        <w:rPr>
          <w:rFonts w:ascii="Times New Roman" w:cs="Times New Roman" w:eastAsia="Times New Roman" w:hAnsi="Times New Roman"/>
          <w:sz w:val="18"/>
          <w:szCs w:val="18"/>
          <w:color w:val="auto"/>
        </w:rPr>
        <w:t>: You may submit your voting instructions by proxy, by phone or via the internet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Notice or the proxy card. If you vote over the Internet, you do not need to complete and mail your proxy card or vote your proxy by telephone. Your vote must be received by 11:59 p.m. Eastern Time on June 3, 2025 to be counted.</w:t>
      </w:r>
    </w:p>
    <w:p>
      <w:pPr>
        <w:spacing w:after="0" w:line="65"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To vote using the printed proxy card that may be delivered to you upon request, simply complete, sign and date the proxy card and return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in the postage prepaid envelope provided to Proxy Tabulator for Cue Biopharma, Inc., Vote Processing, c/o Broadridge, 51 Mercedes Way, Edgewood, NY 11717. If you vote by mail, you do not need to vote over the Internet or by telephone. If we receive the proxy card no later than June 3, 2025, we will vote your shares as you direct.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right="1700" w:hanging="512"/>
        <w:spacing w:after="0" w:line="28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During the Annual Meeting: </w:t>
      </w:r>
      <w:r>
        <w:rPr>
          <w:rFonts w:ascii="Times New Roman" w:cs="Times New Roman" w:eastAsia="Times New Roman" w:hAnsi="Times New Roman"/>
          <w:sz w:val="18"/>
          <w:szCs w:val="18"/>
          <w:color w:val="auto"/>
        </w:rPr>
        <w:t>You may vote by attending the Annual Meeting online. Please visit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www.virtualshareholdermeeting.com/CUE2025 and enter the 16-digit control number included in your Notice or proxy card.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your shares are held in “street name,” meaning they are held for your account by a bank, brokerage firm or other nominee, you may vote:</w:t>
      </w:r>
    </w:p>
    <w:p>
      <w:pPr>
        <w:spacing w:after="0" w:line="119" w:lineRule="exact"/>
        <w:rPr>
          <w:sz w:val="20"/>
          <w:szCs w:val="20"/>
          <w:color w:val="auto"/>
        </w:rPr>
      </w:pPr>
    </w:p>
    <w:p>
      <w:pPr>
        <w:ind w:left="520" w:right="640" w:hanging="512"/>
        <w:spacing w:after="0" w:line="28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Internet or by Telephone</w:t>
      </w:r>
      <w:r>
        <w:rPr>
          <w:rFonts w:ascii="Times New Roman" w:cs="Times New Roman" w:eastAsia="Times New Roman" w:hAnsi="Times New Roman"/>
          <w:sz w:val="18"/>
          <w:szCs w:val="18"/>
          <w:color w:val="auto"/>
        </w:rPr>
        <w:t>: You will receive instructions from your bank, brokerage firm or other nominee if they permit Internet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telephone voting. You should follow those instructions.</w:t>
      </w:r>
    </w:p>
    <w:p>
      <w:pPr>
        <w:spacing w:after="0" w:line="50" w:lineRule="exact"/>
        <w:rPr>
          <w:rFonts w:ascii="Times New Roman" w:cs="Times New Roman" w:eastAsia="Times New Roman" w:hAnsi="Times New Roman"/>
          <w:sz w:val="18"/>
          <w:szCs w:val="18"/>
          <w:color w:val="auto"/>
        </w:rPr>
      </w:pPr>
    </w:p>
    <w:p>
      <w:pPr>
        <w:ind w:left="520" w:right="360" w:hanging="512"/>
        <w:spacing w:after="0" w:line="28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will receive instructions from your bank, brokerage firm or other nominee explaining how you can vote your shares by mail.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follow those instructions.</w:t>
      </w:r>
    </w:p>
    <w:p>
      <w:pPr>
        <w:spacing w:after="0" w:line="50" w:lineRule="exact"/>
        <w:rPr>
          <w:rFonts w:ascii="Times New Roman" w:cs="Times New Roman" w:eastAsia="Times New Roman" w:hAnsi="Times New Roman"/>
          <w:sz w:val="18"/>
          <w:szCs w:val="18"/>
          <w:color w:val="auto"/>
        </w:rPr>
      </w:pPr>
    </w:p>
    <w:p>
      <w:pPr>
        <w:ind w:left="520" w:right="280" w:hanging="512"/>
        <w:spacing w:after="0" w:line="28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During the Annual Meeting</w:t>
      </w:r>
      <w:r>
        <w:rPr>
          <w:rFonts w:ascii="Times New Roman" w:cs="Times New Roman" w:eastAsia="Times New Roman" w:hAnsi="Times New Roman"/>
          <w:sz w:val="18"/>
          <w:szCs w:val="18"/>
          <w:color w:val="auto"/>
        </w:rPr>
        <w:t>: Visit www.virtualshareholdermeeting.com/CUE2025 and enter the 16-digit control number included in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 form.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your shares are registered directly in your name, you may revoke your proxy and change your vote by following one of the below procedures:</w:t>
      </w:r>
    </w:p>
    <w:p>
      <w:pPr>
        <w:spacing w:after="0" w:line="121" w:lineRule="exact"/>
        <w:rPr>
          <w:sz w:val="20"/>
          <w:szCs w:val="20"/>
          <w:color w:val="auto"/>
        </w:rPr>
      </w:pPr>
    </w:p>
    <w:p>
      <w:pPr>
        <w:ind w:left="520" w:right="1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under “Over the Internet or by Telephone.” Only your latest Internet or telephone vote is counted. You may not change your vote over the Internet or by telephone after 11:59 p.m. Eastern Time, on June 3, 2025.</w:t>
      </w:r>
    </w:p>
    <w:p>
      <w:pPr>
        <w:spacing w:after="0" w:line="53" w:lineRule="exact"/>
        <w:rPr>
          <w:rFonts w:ascii="Times New Roman" w:cs="Times New Roman" w:eastAsia="Times New Roman" w:hAnsi="Times New Roman"/>
          <w:sz w:val="18"/>
          <w:szCs w:val="18"/>
          <w:color w:val="auto"/>
        </w:rPr>
      </w:pPr>
    </w:p>
    <w:p>
      <w:pPr>
        <w:ind w:left="520" w:right="20" w:hanging="512"/>
        <w:spacing w:after="0" w:line="312" w:lineRule="auto"/>
        <w:tabs>
          <w:tab w:leader="none" w:pos="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and complete a new proxy card and send it by mail to Proxy Tabulator for Cue Biopharma, Inc., Vote Processing, c/o Broadridge, 51 Mercedes Way, Edgewood, NY 11717. Broadridge must receive the proxy card no later than June 3, 2025. Only your latest dated proxy will be counted.</w:t>
      </w:r>
    </w:p>
    <w:p>
      <w:pPr>
        <w:spacing w:after="0" w:line="31"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online and vote online as instructed above. Attending the Annual Meeting alone will not revoke your Internet vote, telephone vote or proxy submitted by mail, as the case may be.</w:t>
      </w:r>
    </w:p>
    <w:p>
      <w:pPr>
        <w:spacing w:after="0" w:line="53"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corporate secretary written notice before or at the Annual Meeting that you want to revoke your proxy. Such written notice should be sent to Cue Biopharma, Inc., Attention: Secretary, 40 Guest Street, Boston, Massachusetts 02135.</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with a later date by contacting your bank, brokerage firm or other nominee. You may also vote virtually at the Annual Meeting, which will have the effect of revoking any previously submitted voting instructions, if you obtain a legal proxy from your bank, brokerage firm or other nominee as described in the answer to the question “How do I vote?”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my shares be voted if I do not return my proxy or do not give specific voting instructions?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If your shares are registered directly in your name, </w:t>
      </w:r>
      <w:r>
        <w:rPr>
          <w:rFonts w:ascii="Times New Roman" w:cs="Times New Roman" w:eastAsia="Times New Roman" w:hAnsi="Times New Roman"/>
          <w:sz w:val="18"/>
          <w:szCs w:val="18"/>
          <w:color w:val="auto"/>
        </w:rPr>
        <w:t>your shares will not be voted if you do not vote over the Internet, by telephone or by returning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card by mail or online while virtually attending the Annual Meeting. If you are a stockholder of record and you submit your proxy or sign and return a proxy card without giving specific voting instructions, then the proxy holders will vote your shares in the manner recommended by the board on all matters presented in this Proxy Statement and as the proxy holders may determine in their discretion for any other matters properly presented for a vote at the meeting.</w:t>
      </w:r>
    </w:p>
    <w:p>
      <w:pPr>
        <w:spacing w:after="0" w:line="17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w:t>
      </w:r>
      <w:r>
        <w:rPr>
          <w:rFonts w:ascii="Times New Roman" w:cs="Times New Roman" w:eastAsia="Times New Roman" w:hAnsi="Times New Roman"/>
          <w:sz w:val="18"/>
          <w:szCs w:val="18"/>
          <w:color w:val="auto"/>
        </w:rPr>
        <w:t>your bank, brokerage firm or other nominee may under certain circumstances vote your shares if you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your voting instructions. Banks, brokerage firms and other nominees can vote your shares on discretionary matters in the absence of voting instructions from you but they will not be allowed to vote your shares with respect to non-discretionary matters such as the election of directors. If you do not return voting instructions to your bank, brokerage firm or other nominee to vote your shares, your bank, brokerage firm or other nominee may, on discretionary matters, either vote your shares or leave your shares unvoted.</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bank, brokerage firm or other nominee cannot vote your shares on any matter that is not considered discretionary. </w:t>
      </w:r>
      <w:r>
        <w:rPr>
          <w:rFonts w:ascii="Times New Roman" w:cs="Times New Roman" w:eastAsia="Times New Roman" w:hAnsi="Times New Roman"/>
          <w:sz w:val="18"/>
          <w:szCs w:val="18"/>
          <w:color w:val="auto"/>
        </w:rPr>
        <w:t>Proposal 2 (the election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Proposal 4 (the advisory vote on the compensation paid to our named executive officers) and Proposal 5 (the approval of the Cue Biopharma, Inc. 2025 Stock Incentive Plan) are not considered discretionary matters. If you do not instruct your bank, brokerage firm or other nominee how to vote with respect to these proposals, we expect that your bank, brokerage firm or other nominee may not vote with respect to these proposals and those votes will be counted as “broker non-votes.” “Broker non-votes” are shares that are held in “street name” by a bank, brokerage firm or other nominee that indicates on its proxy that it does not have or did not exercise discretionary authority to vote on a particular matter. Proposal 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adoption and approval of an amendment to our Amended and Restated Certificate of Incorporation, as amended) and Proposal 3 (the ratification of the appointment of RSM US LLP as our independent registered public accounting firm for the fiscal year ending December 31, 2025) are considered discretionary matters, and we expect that your bank, brokerage firm or other nominee will be able to exercise discretionary authority to vote on these proposals even if it does not receive voting instructions from you, so long as it holds your shares in its name. We encourage you to provide voting instructions to your bank, brokerage firm or other nominee. This ensures that your shares will be voted at the Annual Meeting according to your instructions. You should receive directions from your bank, brokerage firm or other nominee about how to submit your voting instructions.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May I see a list of stockholders entitled to vote as of the record date?</w:t>
      </w:r>
    </w:p>
    <w:p>
      <w:pPr>
        <w:spacing w:after="0" w:line="117"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 list of registered stockholders as of the close of business on the record date will be available for examination by any stockholder for any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germane to the Annual Meeting for a period of 10 days ending on the day before the Annual Meeting and also during the Annual Meeting by visiting www.virtualshareholdermeeting.com/CUE2025 and entering the 16-digit control number included in your Notice or proxy card.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shares must be represented to hold the Annual Meeting?</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 majority of our shares of common stock issued and outstanding at the record date and entitled to vote at the Annual Meeting must be present virtually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represented by proxy to hold the Annual Meeting. This is called a quorum. For purposes of determining whether a quorum exists, we count as present any shares that are voted over the Internet, by telephone, by completing and submitting a proxy card by mail or that are represented virtually at the meeting. Abstentions and broker non-votes count as present for purposes of establishing a quorum. If a quorum is not present, we expect to adjourn the Annual Meeting until we obtain a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record date, April 11, 2025, 61,819,101 shares of our common stock were issued and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vote is required to approve each matter and how are votes counted?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Adoption and Approval of an Amendment to Our Amended and Restated Certificate of Incorporation.</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affirmative vote of a majority of the votes cast will be required for the adoption and approval of Proposal 1. </w:t>
      </w:r>
      <w:r>
        <w:rPr>
          <w:rFonts w:ascii="Times New Roman" w:cs="Times New Roman" w:eastAsia="Times New Roman" w:hAnsi="Times New Roman"/>
          <w:sz w:val="18"/>
          <w:szCs w:val="18"/>
          <w:b w:val="1"/>
          <w:bCs w:val="1"/>
          <w:color w:val="auto"/>
        </w:rPr>
        <w:t>Proposal 1 is considered a discretionary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matter. </w:t>
      </w:r>
      <w:r>
        <w:rPr>
          <w:rFonts w:ascii="Times New Roman" w:cs="Times New Roman" w:eastAsia="Times New Roman" w:hAnsi="Times New Roman"/>
          <w:sz w:val="18"/>
          <w:szCs w:val="18"/>
          <w:color w:val="auto"/>
        </w:rPr>
        <w:t>If your shares are held by your bank, brokerage firm or other nominee in “street name” and you do not provide voting instructions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we expect that your bank, brokerage firm or other nominee will have the authority to vote your shares on Proposal 1. To the extent that there are any broker non-votes, each such broker non-vote will have no effect on the outcome of Proposal 1. If you ABSTAIN from voting on Proposal 1, your shares will not be voted FOR or AGAINST the proposal and will also not be counted as votes cast on the proposal. As a result, votes to ABSTAIN will have no effect on the outcome of Proposal 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Election of Directors</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The six nominees for director to receive the highest number of votes FOR election will be elected as directors. This is called a plurality. </w:t>
      </w:r>
      <w:r>
        <w:rPr>
          <w:rFonts w:ascii="Times New Roman" w:cs="Times New Roman" w:eastAsia="Times New Roman" w:hAnsi="Times New Roman"/>
          <w:sz w:val="18"/>
          <w:szCs w:val="18"/>
          <w:b w:val="1"/>
          <w:bCs w:val="1"/>
          <w:color w:val="auto"/>
        </w:rPr>
        <w:t>Proposal 2 is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considered a discretionary matter. </w:t>
      </w:r>
      <w:r>
        <w:rPr>
          <w:rFonts w:ascii="Times New Roman" w:cs="Times New Roman" w:eastAsia="Times New Roman" w:hAnsi="Times New Roman"/>
          <w:sz w:val="18"/>
          <w:szCs w:val="18"/>
          <w:color w:val="auto"/>
        </w:rPr>
        <w:t>Therefore, if your shares are held by your bank, brokerage firm or other nominee in “street name” and you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voting instructions with respect to your shares, we expect that your bank, brokerage firm or other nominee cannot vote your shares on Proposal 2. Shares held in “street name” by banks, brokerage firms or other nominees who indicate on their proxies that they do not have authority to vote the shares on Proposal 2 will not be counted as votes FOR or WITHHELD from any nominee. As a result, such “broker non-votes” will have no effect on the voting on Proposal 2. You may:</w:t>
      </w:r>
    </w:p>
    <w:p>
      <w:pPr>
        <w:spacing w:after="0" w:line="78" w:lineRule="exact"/>
        <w:rPr>
          <w:sz w:val="20"/>
          <w:szCs w:val="20"/>
          <w:color w:val="auto"/>
        </w:rPr>
      </w:pPr>
    </w:p>
    <w:p>
      <w:pPr>
        <w:ind w:left="960" w:hanging="51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each nominee;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 particular nominee or nominees and WITHHOLD your vote from the other nominees; or</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your vote from each nominee.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that are withheld will not be included in the vote tally for the election of directors and will not affect the results of the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affirmative vote of the holders of shares representing a majority in voting power of the shares of stock of the Company present virtually or by proxy and entitled to vote on Proposal 3 will be required for the approval of Proposal 3. </w:t>
      </w:r>
      <w:r>
        <w:rPr>
          <w:rFonts w:ascii="Times New Roman" w:cs="Times New Roman" w:eastAsia="Times New Roman" w:hAnsi="Times New Roman"/>
          <w:sz w:val="18"/>
          <w:szCs w:val="18"/>
          <w:b w:val="1"/>
          <w:bCs w:val="1"/>
          <w:color w:val="auto"/>
        </w:rPr>
        <w:t>Proposal 3 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considered a discretionary matter. </w:t>
      </w:r>
      <w:r>
        <w:rPr>
          <w:rFonts w:ascii="Times New Roman" w:cs="Times New Roman" w:eastAsia="Times New Roman" w:hAnsi="Times New Roman"/>
          <w:sz w:val="17"/>
          <w:szCs w:val="17"/>
          <w:color w:val="auto"/>
        </w:rPr>
        <w:t>If your shares are held by your bank, brokerage firm or other nominee in “street name” and you do not provide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with respect to your shares, we expect that your bank, brokerage firm or other nominee will have the authority to vote your shares on Proposal</w:t>
      </w:r>
    </w:p>
    <w:p>
      <w:pPr>
        <w:spacing w:after="0" w:line="1" w:lineRule="exact"/>
        <w:rPr>
          <w:sz w:val="20"/>
          <w:szCs w:val="20"/>
          <w:color w:val="auto"/>
        </w:rPr>
      </w:pPr>
    </w:p>
    <w:p>
      <w:pPr>
        <w:ind w:right="200" w:firstLine="8"/>
        <w:spacing w:after="0" w:line="255"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there are any broker non-votes, each such broker non-vote will have no effect on the outcome of Proposal 3. If you ABSTAIN from voting on Proposal 3, you are still considered “entitled to vote” on the proposal. As a result, a vote to ABSTAIN will have the same effect as a vote AGAINST the proposal.</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stockholder approval of our audit committee’s appointment of RSM US LLP as our independent registered public accounting firm for the fiscal year ending December 31, 2025 is not required, we believe that it is advisable to give stockholders an opportunity to ratify this appointment. If this proposal is not approved at the Annual Meeting, our audit committee will reconsider its appointment of RSM US LLP as our independent registered public accounting firm.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Advisory Vote on the Compensation Paid to Named Executive Officers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affirmative vote of the holders of shares representing a majority in voting power of the shares of stock of the Company present virtually or by proxy and entitled to vote on Proposal 4 will be required for the approval of Proposal 4. </w:t>
      </w:r>
      <w:r>
        <w:rPr>
          <w:rFonts w:ascii="Times New Roman" w:cs="Times New Roman" w:eastAsia="Times New Roman" w:hAnsi="Times New Roman"/>
          <w:sz w:val="18"/>
          <w:szCs w:val="18"/>
          <w:b w:val="1"/>
          <w:bCs w:val="1"/>
          <w:color w:val="auto"/>
        </w:rPr>
        <w:t>Proposal 4 is not considered a discretionary matter</w:t>
      </w:r>
      <w:r>
        <w:rPr>
          <w:rFonts w:ascii="Times New Roman" w:cs="Times New Roman" w:eastAsia="Times New Roman" w:hAnsi="Times New Roman"/>
          <w:sz w:val="18"/>
          <w:szCs w:val="18"/>
          <w:color w:val="auto"/>
        </w:rPr>
        <w:t>. Therefore, if your shares are held by your bank, brokerage firm or other nominee in “street name” and you do not provide voting instructions with respect to your shares, we expect that your bank, brokerage firm or other nominee cannot vote your shares on Proposal 4. Broker non-votes will have no effect on the outcome of Proposal 4. If you ABSTAIN from voting on Proposal 4, you are still considered “entitled to vote” on the proposal. As a result, a vote to ABSTAIN will have the same effect as a vote AGAINST the proposal.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4 is non-binding. Because this vote is advisory and not binding on us or our board of directors in any way, our board of directors may decide that it is in our and our stockholders’ best interests to compensate our named executive officers in an amount or manner that differs from that which is approved by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5 - The approval of the Cue Biopharma, Inc. 2025 Stock Incentive Plan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affirmative vote of the holders of shares representing a majority in voting power of the shares of stock of the Company present virtually or by proxy and entitled to vote on Proposal 5 will be required for the approval of Proposal 5. </w:t>
      </w:r>
      <w:r>
        <w:rPr>
          <w:rFonts w:ascii="Times New Roman" w:cs="Times New Roman" w:eastAsia="Times New Roman" w:hAnsi="Times New Roman"/>
          <w:sz w:val="18"/>
          <w:szCs w:val="18"/>
          <w:b w:val="1"/>
          <w:bCs w:val="1"/>
          <w:color w:val="auto"/>
        </w:rPr>
        <w:t>Proposal 5 is not considered a discretionary matter.</w:t>
      </w:r>
      <w:r>
        <w:rPr>
          <w:rFonts w:ascii="Times New Roman" w:cs="Times New Roman" w:eastAsia="Times New Roman" w:hAnsi="Times New Roman"/>
          <w:sz w:val="18"/>
          <w:szCs w:val="18"/>
          <w:color w:val="auto"/>
        </w:rPr>
        <w:t xml:space="preserve"> Therefore, if your shares are held by your bank, brokerage firm or other nominee in “street name” and you do not provide voting instructions with respect to your shares, we expect that your bank, brokerage firm or other nominee cannot vote your shares on Proposal 5. Broker non-votes will have no effect on the outcome of Proposal 5. If you ABSTAIN from voting on Proposal 5, you are still considered “entitled to vote” on the proposal. As a result, a vote to ABSTAIN will have the same effect as a vote AGAINST the proposal.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does the board of directors recommend that I vote on the proposals?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Our board of directors recommends that you vote:</w:t>
      </w:r>
    </w:p>
    <w:p>
      <w:pPr>
        <w:spacing w:after="0" w:line="117" w:lineRule="exact"/>
        <w:rPr>
          <w:sz w:val="20"/>
          <w:szCs w:val="20"/>
          <w:color w:val="auto"/>
        </w:rPr>
      </w:pPr>
    </w:p>
    <w:p>
      <w:pPr>
        <w:ind w:left="960" w:right="400" w:hanging="512"/>
        <w:spacing w:after="0" w:line="268"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adoption and approval of an amendment to our Amended and Restated Certificate of Incorporation, as amended,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authorized shares of our capital stock from 210,000,000 to 310,000,000 and increase the number of authorized shares of our common stock from 200,000,000 to 300,000,000;</w:t>
      </w:r>
    </w:p>
    <w:p>
      <w:pPr>
        <w:spacing w:after="0" w:line="62" w:lineRule="exact"/>
        <w:rPr>
          <w:rFonts w:ascii="Times New Roman" w:cs="Times New Roman" w:eastAsia="Times New Roman" w:hAnsi="Times New Roman"/>
          <w:sz w:val="18"/>
          <w:szCs w:val="18"/>
          <w:color w:val="auto"/>
        </w:rPr>
      </w:pPr>
    </w:p>
    <w:p>
      <w:pPr>
        <w:ind w:left="960" w:right="20" w:hanging="512"/>
        <w:spacing w:after="0" w:line="268"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six directors, Daniel R. Passeri, Peter A. Kiener, Frank Morich, Pamela Garzone, Patrick Verheyen and Pasha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Sarraf, for a one-year term expiring at the 2026 annual meeting of stockholders and until their respective successors have duly been elected and qualified;</w:t>
      </w:r>
    </w:p>
    <w:p>
      <w:pPr>
        <w:spacing w:after="0" w:line="62" w:lineRule="exact"/>
        <w:rPr>
          <w:rFonts w:ascii="Times New Roman" w:cs="Times New Roman" w:eastAsia="Times New Roman" w:hAnsi="Times New Roman"/>
          <w:sz w:val="18"/>
          <w:szCs w:val="18"/>
          <w:color w:val="auto"/>
        </w:rPr>
      </w:pPr>
    </w:p>
    <w:p>
      <w:pPr>
        <w:ind w:left="960" w:right="440" w:hanging="512"/>
        <w:spacing w:after="0" w:line="286"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RSM US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46"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(non-binding) basis, of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Cue Biopharma, Inc. 2025 Stock Incentive Plan.</w:t>
      </w:r>
    </w:p>
    <w:p>
      <w:pPr>
        <w:spacing w:after="0" w:line="33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votes will be counted, tabulated and certified by Broadridge Financial Solutions, Inc., our inspector of election.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my vote be kept confidential?</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Your vote will be kept confidential and we will not disclose your vote, unless (1) we are required to do so by law (including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pursuit or defense of a legal or administrative action or proceeding), or (2) there is a contested election for the board of directors. The inspector of election will forward any written comments that you make on the proxy card to management without providing your name, unless you expressly request disclosure on the proxy card.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can I find out the results of the voting at the Annual Meeting?</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Preliminary voting results will be announced at the Annual Meeting. Final voting results will be tallied by the inspector of election and published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Report on Form 8-K to be filed with the SEC within four business days after the Annual Meeting.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submit a question at the Annual Meeting?</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You will be able to submit your questions prior to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Annual Meeting by visiting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website at </w:t>
      </w:r>
      <w:r>
        <w:rPr>
          <w:rFonts w:ascii="Times New Roman" w:cs="Times New Roman" w:eastAsia="Times New Roman" w:hAnsi="Times New Roman"/>
          <w:sz w:val="18"/>
          <w:szCs w:val="18"/>
          <w:u w:val="single" w:color="auto"/>
          <w:color w:val="auto"/>
        </w:rPr>
        <w:t>www.virtualshareholdermeeting.com/CUE2025</w:t>
      </w:r>
      <w:r>
        <w:rPr>
          <w:rFonts w:ascii="Times New Roman" w:cs="Times New Roman" w:eastAsia="Times New Roman" w:hAnsi="Times New Roman"/>
          <w:sz w:val="18"/>
          <w:szCs w:val="18"/>
          <w:color w:val="auto"/>
        </w:rPr>
        <w:t xml:space="preserve">, entering the 16-digit control number found on your proxy card, voting instruction form or Notice and following the instructions on the website. Our Rules of Conduct and Procedures will address the ability of stockholders to ask questions during the meeting, including rules on permissible topics, and rules for how questions and comments will be recognized. Our Rules of Conduct and Procedures will be posted during the meeting at </w:t>
      </w:r>
      <w:r>
        <w:rPr>
          <w:rFonts w:ascii="Times New Roman" w:cs="Times New Roman" w:eastAsia="Times New Roman" w:hAnsi="Times New Roman"/>
          <w:sz w:val="18"/>
          <w:szCs w:val="18"/>
          <w:i w:val="1"/>
          <w:iCs w:val="1"/>
          <w:u w:val="single" w:color="auto"/>
          <w:color w:val="auto"/>
        </w:rPr>
        <w:t>www.virtualshareholdermeeting.com/CUE2025</w:t>
      </w:r>
      <w:r>
        <w:rPr>
          <w:rFonts w:ascii="Times New Roman" w:cs="Times New Roman" w:eastAsia="Times New Roman" w:hAnsi="Times New Roman"/>
          <w:sz w:val="18"/>
          <w:szCs w:val="18"/>
          <w:i w:val="1"/>
          <w:iCs w:val="1"/>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paying the costs of soliciting these proxies?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will pay all of the costs of soliciting proxies. Our directors, officers and other employees may solicit proxies in person or by mail, telephone, fax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We will pay our directors, officers and other employees no additional compensation for these services. We will ask banks, brokerage firms and other nominees to forward these proxy materials to their principals and to obtain authority to execute proxies. We may reimburse them for their expenses. We may also utilize the assistance of third parties in connection with our proxy solicitation efforts, and we would compensate such third parties for their efforts. We have engaged one such third party, BetaNXT, to assist in the solicitation of proxies and provide related advice and informational support, for service fees of up to approximately $10,000. BetaNXT may solicit proxies by mail, telephone, email and in person.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obtain an Annual Report on Form 10-K?</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would like a copy of our Annual Report on Form 10-K for the year ended December 31, 2024 that we filed with the SEC, it will be furnished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without exhibits, free of charge upon written or oral request to Secretary, Cue Biopharma, Inc., 40 Guest Street, Boston, Massachusetts 02135, by (1) visiting www.proxyvote.com; (2) calling 1-800-579-1639; or (3) sending an email to sendmaterial@proxyvote.com.</w:t>
      </w:r>
    </w:p>
    <w:p>
      <w:pPr>
        <w:spacing w:after="0" w:line="175" w:lineRule="exact"/>
        <w:rPr>
          <w:sz w:val="20"/>
          <w:szCs w:val="20"/>
          <w:color w:val="auto"/>
        </w:rPr>
      </w:pPr>
    </w:p>
    <w:p>
      <w:pPr>
        <w:ind w:right="1740"/>
        <w:spacing w:after="0" w:line="282" w:lineRule="auto"/>
        <w:rPr>
          <w:sz w:val="20"/>
          <w:szCs w:val="20"/>
          <w:color w:val="auto"/>
        </w:rPr>
      </w:pPr>
      <w:r>
        <w:rPr>
          <w:rFonts w:ascii="Times New Roman" w:cs="Times New Roman" w:eastAsia="Times New Roman" w:hAnsi="Times New Roman"/>
          <w:sz w:val="18"/>
          <w:szCs w:val="18"/>
          <w:color w:val="auto"/>
        </w:rPr>
        <w:t xml:space="preserve">All of our SEC filings are also available free of charge in the “Investors &amp; Media—Financial Information” section of our website at </w:t>
      </w:r>
      <w:r>
        <w:rPr>
          <w:rFonts w:ascii="Times New Roman" w:cs="Times New Roman" w:eastAsia="Times New Roman" w:hAnsi="Times New Roman"/>
          <w:sz w:val="18"/>
          <w:szCs w:val="18"/>
          <w:i w:val="1"/>
          <w:iCs w:val="1"/>
          <w:color w:val="auto"/>
        </w:rPr>
        <w:t>www.cuebiopharma.com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Being a “Smaller Reporting Company”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was less than $700 million on the last business day of our most recently completed second fiscal quarter and our annual revenue was less than $100 million during our most recently completed fiscal year.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intend to rely on exemptions from certain disclosure and other requirements that are applicable to other public companies that are not applicable to a smaller reporting company. We have taken advantage of certain reduced reporting obligations in this Proxy Statement. Accordingly, the information contained herein may be different than the information you receive from other public companies in which you hold stock.</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ADOPTION AND APPROVAL OF AN AMENDMENT TO OUR AMENDED AND RESTATED CERTIFICATE OF INCORPORATION, AS AMENDED, TO INCREASE THE NUMBER OF AUTHORIZED SHARES OF OUR CAPITAL STOCK AND COMMON STOCK</w:t>
      </w:r>
    </w:p>
    <w:p>
      <w:pPr>
        <w:spacing w:after="0" w:line="2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13, 2025, our board of directors approved and declared advisable an amendment to our Amended and Restated Certificate of Incorporation, as amended, or our Certificate of Incorporation, to increase the number of authorized shares of our capital stock from 210,000,000 to 310,000,000 and increase the number of authorized shares of our common stock from 200,000,000 to 300,000,000. Our Certificate of Incorporation currently authorizes 210,000,000 shares of capital stock, consisting of 200,000,000 shares of common stock, par value $0.001 per share, and 10,000,000 shares of preferred stock, par value $0.001 per share. The proposed amendment is subject to stockholder approval and adoption and would not increase or otherwise affect our authorized preferred stock. Our common stock is all a single class, with equal voting, dividend and liquidation rights. The additional shares of capital stock, consisting of shares of common stock to be authorized by adoption of the amendment, would have rights identical to our currently outstanding common stock.</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copy of the amendment to our Certificate of Incorporation is attached as Appendix A to this Proxy Statement. If our stockholders adopt and approve this Proposal 1, subject to the discretion of the board of directors, we will file the amendment to our Certificate of Incorporation with the Secretary of State of the State of Delaware as soon as practicable.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interests of our Company and our stockholders to increase the number of authorized shares of our common stock in order to give us greater flexibility in considering and planning for potential business needs. The increase in the number of authorized but unissued shares of common stock would enable the Company, without the expense and delay of seeking stockholder approval, to issue shares from time to time as may be required for proper business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117" w:lineRule="exact"/>
        <w:rPr>
          <w:sz w:val="20"/>
          <w:szCs w:val="20"/>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 plans;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collaborations and other similar transactions;</w:t>
      </w:r>
    </w:p>
    <w:p>
      <w:pPr>
        <w:spacing w:after="0" w:line="117" w:lineRule="exact"/>
        <w:rPr>
          <w:rFonts w:ascii="Times New Roman" w:cs="Times New Roman" w:eastAsia="Times New Roman" w:hAnsi="Times New Roman"/>
          <w:sz w:val="18"/>
          <w:szCs w:val="18"/>
          <w:color w:val="auto"/>
        </w:rPr>
      </w:pPr>
    </w:p>
    <w:p>
      <w:pPr>
        <w:ind w:left="960" w:right="140" w:hanging="51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 such as public or private offerings of common stock or convertible securities, including under our sales agreement, or the Open Market Sales Agreement, with Jefferies LLC, or Jefferies;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acquisitions of other businesses or assets;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that have not yet been identified.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have no specific plans, arrangements or understandings to issue additional shares of common stock, except for the issuance of common stock pursuant to our equity incentive plans or in connection with the exercise and vesting of our outstanding options and restricted stock units, and any potential issuances under the Open Market Sales Agreement and our universal shelf registration statement as described below. However, the availability of additional shares of common stock for issuance is, in management’s view, prudent and will afford us flexibility in acting upon financing transactions to strengthen our financial position and/or partnerships, collaborations or similar opportunities that may arise.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up to $300 million of registered common stock, preferred stock, debt securities, warrants, subscription rights and/or units from time to time pursuant to one or more offerings at prices and terms to be determined at the time of sale. In addition, we have entered into the Open Market Sale Agreement with Jefferies, as sales agent, pursuant to which we may offer and sell shares of our common stock under such registration statement with an aggregate offering price of up to $80.0 million under an “at-the-market” offering program. To date, we have sold 9,072,231 shares of common stock pursuant to the Open Market Sales Agreement for proceeds of $40.4 million, net of commission paid, but excluding transaction expenses. We may choose to sell shares of our common stock pursuant to the Open Market Sales Agreement in the future.</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April 11, 2025, a total of 61,819,101 shares of common stock were issued and outstanding, and there were no shares of preferred stock issued or outstanding. As of April 11, 2025, there were options to purchase an aggregate of 12,338,461 shares of common stock outstanding, composed of 12,021,861 shares underlying options granted under our 2016 Omnibus Incentive Plan, or the Omnibus Plan, 200,000 shares underlying an inducement grant, and 116,600 shares underlying options granted under our 2016 Non-Employee Equity Incentive Plan, or the Non-Employee Plan. As of April 11, 2025, 6,336,365 shares of common stock are reserved for future issuance under the Omnibus Plan. There were no shares reserved for future issuance under the Non-Employee Plan. Additionally, as of April 11, 2025, there were outstanding warrants to purchase an aggregate of 15,151,906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shares of common stock and outstanding pre-funded warrants to purchase an aggregate of 12,435,599 shares of common stock. Accordingly, out of the 200,000,000 shares of common stock authorized, 61,819,101 shares are issued and outstanding, 46,262,331 shares are reserved for issuance, and 91,918,568 authorized shares of common stock remain available for future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amendment to our Certificate of Incorporation is adopted, approved and effected, the additional authorized shares of common stock would be available for issuance at the discretion of our board of directors and without further stockholder approval, except as may be required by law or the rules of the Nasdaq Capital Market on which our common stock is listed. The additional shares of authorized common stock would have the same rights and privileges as the shares of common stock currently issued and outstanding. Holders of our common stock have no preemptive rights.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issuance of additional shares of common stock could have the effect of making it more difficult for a third party to acquire, or discouraging a third party from attempting to acquire, control of the Company. We are not aware of any attempts on the part of a third party to effect a takeover of the Company, and the amendment to our Certificate of Incorporation has been proposed for the reasons stated above and not with the intention that any increase in the authorized shares of common stock be used as a type of anti-takeover device.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issuance of additional shares of common stock may, among other things, have a dilutive effect on any future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if this amendment is adopted, approved and filed with the Secretary of State of the State of Delaware, they will own a smaller percentage of shares relative to the total authorized shares of the Company than they presently own.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 the Amendment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presently intend to effect the increase in authorized shares of capital stock and common stock contemplated by this Proposal 1, notwithstanding stockholder adoption and approval of this proposal, our board of directors will have discretion as to whether to effect the increase in authorized shares of capital stock and common stock and reserves the right to abandon the amendment to our Certificate of Incorporation without any further action by our stockholders if at any time prior to the filing or effectiveness of the certificate of amendment, our board of directors determines, in its sole discretion, that the increase in authorized shares of capital stock and common stock is no longer in the best interests of our Company and our stockholders. By voting in favor of Proposal 1, stockholders are also expressly authorizing our board of directors to determine not to proceed with, or abandon, the increase in authorized shares of capital stock and common stock if it should so decide.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OUR BOARD OF DIRECTORS BELIEVES THAT THE ADOPTION AND APPROVAL OF THE AMENDMENT TO OUR AMENDED AND RESTATED CERTIFICATE OF INCORPORATION, AS AMENDED, TO INCREASE THE NUMBER OF AUTHORIZED SHARES OF OUR CAPITAL STOCK FROM 210,000,000 TO 310,000,000 AND TO INCREASE THE NUMBER OF AUTHORIZED SHARES OF OUR COMMON STOCK FROM 200,000,000 TO 300,000,000 IS IN THE BEST INTERESTS OF THE COMPANY AND OUR STOCKHOLDERS AND, THEREFORE, RECOMMENDS THAT THE STOCKHOLDERS VOTE FOR THIS PROPOSAL.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Directors are elected at the annual meeting of stockholders and hold office for a one-year term and until their resignation or removal or their successors are duly elected and qualified. In accordance with our certificate of incorporation and bylaws, our directors may fill existing vacancies on the board of directors.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no contrary indication is made, proxies will be voted for Mr. Passeri, Dr. Kiener, Dr. Morich, Dr. Garzone, Mr. Verheyen and Dr. Sarraf. Proxies cannot be voted for a greater number of individuals than the number of nominees named in this Proxy Statement. In the event that any of the nominees for director is not a candidate or is unable to serve as a director at the time of the election (which is not currently expected), your proxy will be voted for any nominee who is designated by our board of directors to fill the vacancy.</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Mr. Driscoll will not stand for re-election at the Annual Meeting. Accordingly, our board of directors reduced the size of our board of directors to six members, effective immediately following the completion of Mr. Driscoll’s term at the Annual Meeting.</w:t>
      </w:r>
    </w:p>
    <w:p>
      <w:pPr>
        <w:spacing w:after="0" w:line="162" w:lineRule="exact"/>
        <w:rPr>
          <w:sz w:val="20"/>
          <w:szCs w:val="20"/>
          <w:color w:val="auto"/>
        </w:rPr>
      </w:pPr>
    </w:p>
    <w:p>
      <w:pPr>
        <w:jc w:val="both"/>
        <w:ind w:right="680"/>
        <w:spacing w:after="0" w:line="281" w:lineRule="auto"/>
        <w:rPr>
          <w:sz w:val="20"/>
          <w:szCs w:val="20"/>
          <w:color w:val="auto"/>
        </w:rPr>
      </w:pPr>
      <w:r>
        <w:rPr>
          <w:rFonts w:ascii="Times New Roman" w:cs="Times New Roman" w:eastAsia="Times New Roman" w:hAnsi="Times New Roman"/>
          <w:sz w:val="18"/>
          <w:szCs w:val="18"/>
          <w:color w:val="auto"/>
        </w:rPr>
        <w:t>At the Annual Meeting, stockholders will be asked to consider the election of Dr. Sarraf, who has been nominated for election as a director by our stockholders for the first time. Dr. Sarraf was appointed to our board of directors in March 2025, upon the recommendation of our nominating and corporate governance committee.</w:t>
      </w:r>
    </w:p>
    <w:p>
      <w:pPr>
        <w:spacing w:after="0" w:line="16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business acumen, the ability to contribute positively to the decision-making process of the Company, knowledge of our business, understanding of the competitive landscape and a reputation for integrity, honesty and adherence to high ethical standards. We also seek to have a diversity of skills and backgrounds represented on our board of directors. Re-nomination of our directors is not automatic, and performance on the board and committees is considered, as well as the undertaking of continuing director education. Certain individual qualifications and skills of our directors that contribute to the board of directors’ effectiveness as a whole are described in the following paragraphs.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paragraphs provide information as of April 11, 2025 about each nominee for director, as furnished to us by the nominees for director. The information presented includes information each such individual has given us about his or her age, any position he or she holds with us, his or her principal occupation and business experience for the past five years and the names of other publicly held companies of which he or she currently serves as a director or has served as a director during the past five years. In addition to the information presented below regarding each such individual’s specific experience, qualifications, attributes and skills that led our board of directors to the conclusion that he or she should serve as a director, we also believe that each of our directors and director nominees has a reputation for integrity, honesty and adherence to high ethical standards. Each has demonstrated business acumen and an ability to exercise sound judgment, as well as a commitment of service to our company and our board of directors. Finally, we value their significant experience on other public company boards of directors and board committees.</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about the number of shares of common stock beneficially owned by each of our directors and nominees for director appears below under the heading “Security Ownership of Certain Beneficial Owners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or among any of our executive officers, directors or nominees for director.</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First</w:t>
            </w:r>
          </w:p>
        </w:tc>
        <w:tc>
          <w:tcPr>
            <w:tcW w:w="180" w:type="dxa"/>
            <w:vAlign w:val="bottom"/>
          </w:tcPr>
          <w:p>
            <w:pPr>
              <w:spacing w:after="0"/>
              <w:rPr>
                <w:sz w:val="13"/>
                <w:szCs w:val="13"/>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Became Director</w:t>
            </w:r>
          </w:p>
        </w:tc>
        <w:tc>
          <w:tcPr>
            <w:tcW w:w="180" w:type="dxa"/>
            <w:vAlign w:val="bottom"/>
          </w:tcPr>
          <w:p>
            <w:pPr>
              <w:spacing w:after="0"/>
              <w:rPr>
                <w:sz w:val="15"/>
                <w:szCs w:val="15"/>
                <w:color w:val="auto"/>
              </w:rPr>
            </w:pPr>
          </w:p>
        </w:tc>
        <w:tc>
          <w:tcPr>
            <w:tcW w:w="4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R. Passeri</w:t>
            </w:r>
          </w:p>
        </w:tc>
        <w:tc>
          <w:tcPr>
            <w:tcW w:w="24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Kiener</w:t>
            </w:r>
          </w:p>
        </w:tc>
        <w:tc>
          <w:tcPr>
            <w:tcW w:w="2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c>
          <w:tcPr>
            <w:tcW w:w="1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Frank Morich</w:t>
            </w:r>
          </w:p>
        </w:tc>
        <w:tc>
          <w:tcPr>
            <w:tcW w:w="24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Pamela Garzone</w:t>
            </w:r>
          </w:p>
        </w:tc>
        <w:tc>
          <w:tcPr>
            <w:tcW w:w="2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Patrick Verheyen</w:t>
            </w:r>
          </w:p>
        </w:tc>
        <w:tc>
          <w:tcPr>
            <w:tcW w:w="24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spacing w:after="0"/>
              <w:rPr>
                <w:sz w:val="18"/>
                <w:szCs w:val="18"/>
                <w:color w:val="auto"/>
              </w:rPr>
            </w:pPr>
          </w:p>
        </w:tc>
        <w:tc>
          <w:tcPr>
            <w:tcW w:w="4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Pasha Sarraf</w:t>
            </w:r>
          </w:p>
        </w:tc>
        <w:tc>
          <w:tcPr>
            <w:tcW w:w="2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630"/>
        </w:trPr>
        <w:tc>
          <w:tcPr>
            <w:tcW w:w="4340" w:type="dxa"/>
            <w:vAlign w:val="bottom"/>
          </w:tcPr>
          <w:p>
            <w:pPr>
              <w:spacing w:after="0"/>
              <w:rPr>
                <w:sz w:val="24"/>
                <w:szCs w:val="24"/>
                <w:color w:val="auto"/>
              </w:rPr>
            </w:pPr>
          </w:p>
        </w:tc>
        <w:tc>
          <w:tcPr>
            <w:tcW w:w="24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Daniel R. Passeri</w:t>
      </w:r>
      <w:r>
        <w:rPr>
          <w:rFonts w:ascii="Times New Roman" w:cs="Times New Roman" w:eastAsia="Times New Roman" w:hAnsi="Times New Roman"/>
          <w:sz w:val="18"/>
          <w:szCs w:val="18"/>
          <w:color w:val="auto"/>
        </w:rPr>
        <w:t>, age 64, has served as our Chief Executive Officer and a director since August 2016. He also served as our President from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October 2019. He served as a director of Curis, Inc. (Nasdaq: CRIS), or Curis, a biotechnology company seeking to develop and commercialize drug candidates for the treatment of cancer, from September 2001 to June 2016. Mr. Passeri previously served as Chief Executive Officer of Curis from September 2001 until June 2014 and as Vice Chairman of its board of directors from June 2014 to June 2016, and additionally held the title of President from September 2001 to February 2013. Previously, from November 2000 to September 2001, Mr. Passeri served as the Senior Vice President, Corporate Development and Strategic Planning of Curis. From December 2014 to June 2015, Mr. Passeri served as Chief Officer of Technology Management and Business Development of the Jackson Laboratory for Genomic Medicine. From March 1997 to November 2000, Mr. Passeri was employed by Gene Logic Inc., a biotechnology company, most recently as Senior Vice President, Corporate Development and Strategic Planning. From February 1995 to March 1997, Mr. Passeri was employed by Boehringer Mannheim, a pharmaceutical, biotechnology and diagnostic company, as Director of Technology Management. Mr. Passeri received a J.D. from the George Washington University Law School, an M.Sc. in biotechnology from the Imperial College of Science, Technology and Medicine at the University of London and a B.S. in biology from Northeastern University. Mr. Passeri’s qualifications to serve as a director of Cue Biopharma include his extensive service and experience as a director and executive officer of a public company as well as his extensive experience in corporate strategy and development, intellectual property strategy and oversight, and technology licensing, as each of these elements are critical to our overall business strategy.</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Peter A. Kiener</w:t>
      </w:r>
      <w:r>
        <w:rPr>
          <w:rFonts w:ascii="Times New Roman" w:cs="Times New Roman" w:eastAsia="Times New Roman" w:hAnsi="Times New Roman"/>
          <w:sz w:val="18"/>
          <w:szCs w:val="18"/>
          <w:color w:val="auto"/>
        </w:rPr>
        <w:t>, age 72, joined our board of directors in March 2016. Dr. Kiener served as the Chief Scientific Officer and Head of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Sucampo Pharmaceuticals, Inc., or Sucampo, a global biopharmaceutical company, from October 2014 to February 2018. Prior to joining Sucampo, Dr. Kiener served as the Chief Scientific Officer of Ambrx, Inc., a clinical-stage biopharmaceutical company focused on the development of antibody-drug conjugates, from 2013 to 2014. From 2009 to 2013, he was President and co-founder of Zyngenia Inc., an early-stage biopharmaceutical company. From 2001 to 2009, he was head of Research and R&amp;D at MedImmune, the biologics research and development arm of AstraZeneca. Dr. Kiener is currently also a member of the board of directors of Peptone Switzerland AG and Lava Therapeutics (Nasdaq: LVTX). Dr. Kiener was a member of the board of directors of Pieris Pharmaceuticals, Inc. from 2018 through 2024, iTolerance, Inc. from 2021 through 2024 and Tetragenetics Inc. from 2018 through 2022. Dr. Kiener holds a Bachelor’s degree in chemistry from the University of Lancaster and a Ph.D. in biochemistry from the University of Oxford. Dr. Kiener’s extensive executive leadership experience and his in-depth knowledge of the biopharmaceutical industry make him well qualified to serve on our board of directors.</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Frank Morich</w:t>
      </w:r>
      <w:r>
        <w:rPr>
          <w:rFonts w:ascii="Times New Roman" w:cs="Times New Roman" w:eastAsia="Times New Roman" w:hAnsi="Times New Roman"/>
          <w:sz w:val="18"/>
          <w:szCs w:val="18"/>
          <w:color w:val="auto"/>
        </w:rPr>
        <w:t>, age 71, joined our board of directors in July 2018 and was appointed Chairman in April 2020. Dr. Morich has served as a consultant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sciences and health care industries since 2015. Since 2023, Dr. Morich has served on the board of Perspective Therapeutics (Nasdaq: CATX), a clinical-stage biopharmaceutical company. Dr. Morich was a member of the supervisory board of MorphoSys AG (Nasdaq: MOR), a late-stage, biopharmaceutical company, from 2015 to 2021. From 2011 to 2014, Dr. Morich served as Chief Commercial Officer at Takeda Pharmaceutical, a global pharmaceutical company, and from 2010 to 2011, he served as Executive Vice President International Operations at Takeda. From 2008 to 2010, Dr. Morich served as Chief Executive Officer of NOXXON Pharma AG, a clinical-stage drug development company, and from 2005 to 2007 he served as Chief Executive Officer and member of the board of directors of Innogenetics N.V., an international in vitro diagnostics company. During 2004, Dr. Morich served as Chief Executive Officer and Chairman of the Executive Board of AM Pharma B.V., a clinical-stage drug development company. Prior to that, Dr. Morich held several positions at Bayer, a global pharmaceutical and life sciences company, including member of the board of management of Bayer AG, head of global product development and head of research and development. Dr. Morich graduated in medical studies at the University of Marburg, Germany. Dr. Morich has over 35 years of experience in the life sciences and health care industries and extensive executive leadership experience, making him well qualified to serve on our board of directors as Chairman.</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Pamela D. Garzone</w:t>
      </w:r>
      <w:r>
        <w:rPr>
          <w:rFonts w:ascii="Times New Roman" w:cs="Times New Roman" w:eastAsia="Times New Roman" w:hAnsi="Times New Roman"/>
          <w:sz w:val="18"/>
          <w:szCs w:val="18"/>
          <w:color w:val="auto"/>
        </w:rPr>
        <w:t>, age 70, joined our board of directors in April 2023. Dr. Garzone has served as the Chief Development Officer at Anixa Biosciences,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company focused on oncology and infectious diseases, since September 2021. Prior to joining Anixa, Dr. Garzone served as the Chief Medical Officer at Calibr, a division of the Scripps Research Institute from May 2019 to May 2021. From May 2009 through May 2019, Dr. Garzone served as the Vice President, Group Asset Team Lead focused on early oncology clinical research at Pfizer Inc. Dr. Garzone earned a B.S. degree in pharmacy from Purdue University and an M.S. in pharmacy practice from the University of Pittsburgh. Dr. Garzone received her Ph.D. in clinical science from the University of Pittsburgh. Dr. Garzone’s extensive knowledge of the biopharmaceutical industry in general, and drug development in particular, makes her well qualified to serve on our board of directors.</w:t>
      </w:r>
    </w:p>
    <w:p>
      <w:pPr>
        <w:spacing w:after="0" w:line="18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Verheyen, </w:t>
      </w:r>
      <w:r>
        <w:rPr>
          <w:rFonts w:ascii="Times New Roman" w:cs="Times New Roman" w:eastAsia="Times New Roman" w:hAnsi="Times New Roman"/>
          <w:sz w:val="18"/>
          <w:szCs w:val="18"/>
          <w:color w:val="auto"/>
        </w:rPr>
        <w:t>age 65, joined our board of directors in April 2023. Mr. Verheyen served as the Global Head of Janssen Business Development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a healthcare products company, from 2015 through 2021. Mr. Verheyen also served as a member of the Janssen’s Pharmaceuticals Group Operating Committee during this time. Mr. Verheyen joined Johnson &amp; Johnson in 1986 and served in various roles, including as Head of London Johnson &amp; Johnson Innovation Center from 2012</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through 2015. Mr. Verheyen received a degree in bioengineering from the University of Leuven in Flanders, Belgium. Mr. Verheyen has over 35 years of experience in the health care industry and extensive executive leadership experience, making him well qualified to serve on our board of directors.</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Pasha Sarraf, </w:t>
      </w:r>
      <w:r>
        <w:rPr>
          <w:rFonts w:ascii="Times New Roman" w:cs="Times New Roman" w:eastAsia="Times New Roman" w:hAnsi="Times New Roman"/>
          <w:sz w:val="18"/>
          <w:szCs w:val="18"/>
          <w:color w:val="auto"/>
        </w:rPr>
        <w:t>age 55, joined our board of directors in March 2025. Dr. Sarraf has served as Principal at Upupa Advisory, a strategic advisory firm,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Dr. Sarraf previously served as the Chief Executive Officer and executive board member of Matterhorn Biosciences, a biotechnology company, from 2021 to 2023, where he built a supportive team and scaled the scientific effort to demonstrate the value of their T-cell receptors-based platform. Prior to joining Matterhorn Biosciences, Dr. Sarraf served as an Operating Partner of Flagship Pioneering, a venture capital company, from 2020 to 2021. There, he led a team at a portfolio company of Flagship Pioneering who discovered novel genetic circuits in Parkinson’s Disease, initiating a drug discovery program for an innovative target that was later licensed by GSK plc. Prior to joining Flagship Pioneering, Dr. Sarraf served as Senior Wall Street Analyst and Managing Director at Leerink Partners, formerly SVB Leerink. Prior to that, Dr. Sarraf joined McKinsey &amp; Company in 2008 and served in various roles, including as Partner in the life sciences practice from 2015 through 2018, where he focused on strategy, diligence and forecasting. Dr. Sarraf is a member of the boards of directors of biotechnology companies PolarityBio and Praesidia Biotherapeutics, where he serves as Chairman. Dr. Sarraf obtained his M.D. and Ph.D. at Harvard Medical School and trained in internal medicine and rheumatology at Massachusetts General Hospital and National Institutes of Health, focusing on vasculitis, scleroderma and genetic inflammatory disorders. Dr. Sarraf has authored over 50 publications and multiple patents for novel therapies and molecular targets. Dr. Sarraf’s extensive experience in the business of science and biotechnology makes him well qualified to serve on our board of directors.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THE STOCKHOLDERS VOTE FOR THE ELECTION OF EACH OF MR. PASSERI, DR. KIENER, DR. MORICH, DR. GARZONE, MR. VERHEYEN AND DR. SARRAF.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good corporate governance is important to ensure that Cue Biopharma is managed for the long-term benefit of our stockholders. This section describes key corporate governance practices that we have adopted. We have adopted a code of business conduct and ethics, which applies to all of our officers, directors and employees, and corporate governance guidelines and charters for our audit committee, our compensation committee and our corporate governance and nominating committee. We have posted copies of our code of business conduct and ethics and corporate governance guidelines, as well as each of our committee charters, on the Corporate Governance page of the “Investors &amp; Media” section of our website, </w:t>
      </w:r>
      <w:r>
        <w:rPr>
          <w:rFonts w:ascii="Times New Roman" w:cs="Times New Roman" w:eastAsia="Times New Roman" w:hAnsi="Times New Roman"/>
          <w:sz w:val="18"/>
          <w:szCs w:val="18"/>
          <w:i w:val="1"/>
          <w:iCs w:val="1"/>
          <w:color w:val="auto"/>
        </w:rPr>
        <w:t>www.cuebiopharma.com</w:t>
      </w:r>
      <w:r>
        <w:rPr>
          <w:rFonts w:ascii="Times New Roman" w:cs="Times New Roman" w:eastAsia="Times New Roman" w:hAnsi="Times New Roman"/>
          <w:sz w:val="18"/>
          <w:szCs w:val="18"/>
          <w:color w:val="auto"/>
        </w:rPr>
        <w:t>, which you can access free of charge. Information contained on the website is not incorporated by reference in, or considered part of, this Proxy Statement. We intend to disclose on our website any amendments to, or waivers from, our code of business conduct and ethics that are required to be disclosed by law or the rules of the Nasdaq Stock Market LLC, or Nasdaq, or the Nasdaq Listing Rules. We will also provide copies of these documents, as well as certain of our other corporate governance documents, free of charge, to any stockholder upon written request to Secretary, Cue Biopharma, Inc., 40 Guest Street, Boston, Massachusetts 02135.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Cue Biopharma and our stockholders. These guidelines, which provide a framework for the conduct of our board’s business, provide that:</w:t>
      </w:r>
    </w:p>
    <w:p>
      <w:pPr>
        <w:spacing w:after="0" w:line="54" w:lineRule="exact"/>
        <w:rPr>
          <w:sz w:val="20"/>
          <w:szCs w:val="20"/>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Cue Biopharma;</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otherwise permitted by the Nasdaq Listing Rules, a majority of the members of our board shall be independent directors;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at least twice annually in executive session;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 and</w:t>
      </w:r>
    </w:p>
    <w:p>
      <w:pPr>
        <w:spacing w:after="0" w:line="117" w:lineRule="exact"/>
        <w:rPr>
          <w:rFonts w:ascii="Times New Roman" w:cs="Times New Roman" w:eastAsia="Times New Roman" w:hAnsi="Times New Roman"/>
          <w:sz w:val="18"/>
          <w:szCs w:val="18"/>
          <w:color w:val="auto"/>
        </w:rPr>
      </w:pPr>
    </w:p>
    <w:p>
      <w:pPr>
        <w:ind w:left="960" w:right="60" w:hanging="51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 and our board will conduct a self-evaluation annually to determine whether it is functioning effectively.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Nasdaq Listing Rules require a majority of a listed company’s board of directors to be composed of independent directors within one year of listing. In addition, the Nasdaq Listing Rules require that, subject to specified exceptions, each member of a listed company’s audit, compensation and corporate governance and nominating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2025,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Mr. Passeri, is an “independent director” as defined under the Nasdaq Listing Rules. In June 2024, our board of directors made a similar determination that Michael J. Fox, who served on our board of directors until August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was an independent director. In making such determinations, our board of directors considered the relationships that each such director has with our company and all other facts and circumstances that our board of directors deemed relevant in determining his or her independence, including the beneficial ownership of our capital stock by each director. Mr. Passeri is not an independent director under these rules because he is our chief executive officer.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upon the recommendation of our corporate governance and nominating committee, has determined that the roles of chairman of the board and chief executive officer should remain separate at the current time. Accordingly, our board of directors has appointed Dr. Morich, an independent director within the meaning of the Nasdaq Listing Rules (see “Director Independence” above), as the chairman of the board of directors. Dr. Morich possesses an in-depth knowledge of the issues, opportunities and challenges that our company faces. We believe he is currently the person best positioned to ensure our board of directors’ time and attention is focused on the matters that are most critical to our company. Our board of directors believes Dr. Morich is a decisive leader who commands accountability and enhances our ability to communicate our message and strategy clearly and consistently to stockholders, employees and strategic partners. Dr. Morich’s duties as chairman of the board include the following:</w:t>
      </w:r>
    </w:p>
    <w:p>
      <w:pPr>
        <w:spacing w:after="0" w:line="81" w:lineRule="exact"/>
        <w:rPr>
          <w:sz w:val="20"/>
          <w:szCs w:val="20"/>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chairing meetings of the independent directors in executive session;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any director who is not adequately performing his or her duties as a member of our board of directors or any committee;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communications between other members of our board of directors and the chief executive officer;</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or approving the agenda for each board meeting;</w:t>
      </w:r>
    </w:p>
    <w:p>
      <w:pPr>
        <w:spacing w:after="0" w:line="117" w:lineRule="exact"/>
        <w:rPr>
          <w:rFonts w:ascii="Times New Roman" w:cs="Times New Roman" w:eastAsia="Times New Roman" w:hAnsi="Times New Roman"/>
          <w:sz w:val="18"/>
          <w:szCs w:val="18"/>
          <w:color w:val="auto"/>
        </w:rPr>
      </w:pPr>
    </w:p>
    <w:p>
      <w:pPr>
        <w:ind w:left="960" w:right="100" w:hanging="51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frequency and length of board meetings and recommending when special meetings of our board of directors should be held; and</w:t>
      </w:r>
    </w:p>
    <w:p>
      <w:pPr>
        <w:spacing w:after="0" w:line="53" w:lineRule="exact"/>
        <w:rPr>
          <w:rFonts w:ascii="Times New Roman" w:cs="Times New Roman" w:eastAsia="Times New Roman" w:hAnsi="Times New Roman"/>
          <w:sz w:val="18"/>
          <w:szCs w:val="18"/>
          <w:color w:val="auto"/>
        </w:rPr>
      </w:pPr>
    </w:p>
    <w:p>
      <w:pPr>
        <w:ind w:left="960" w:right="160" w:hanging="51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recommending action to be taken with respect to written communications from stockholders submitted to our board of directors (see “Communications with Our Board of Directors”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believes that having a leadership structure with separate roles of chairman and chief executive officer offers the following benefits:</w:t>
      </w:r>
    </w:p>
    <w:p>
      <w:pPr>
        <w:spacing w:after="0" w:line="117" w:lineRule="exact"/>
        <w:rPr>
          <w:sz w:val="20"/>
          <w:szCs w:val="20"/>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independent oversight of Cue Biopharma and enhancing our board’s objective evaluation of our chief executive officer;</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freeing the chief executive officer to focus on company operations instead of board administration;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chief executive officer with an experienced sounding board;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greater opportunities for communication between stockholders and our board of directors;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independent and objective assessment of risk by our board of directors;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independent spokesman for our company.</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Although the roles of chairman and chief executive officer are currently separate, our corporate governance and nominating committee and board of directors believe it is appropriate for our chief executive officer to serve as a member of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evaluating director nominees, the corporate governance and nominating committee will consider among other things the following factors:</w:t>
      </w:r>
    </w:p>
    <w:p>
      <w:pPr>
        <w:spacing w:after="0" w:line="117" w:lineRule="exact"/>
        <w:rPr>
          <w:sz w:val="20"/>
          <w:szCs w:val="20"/>
          <w:color w:val="auto"/>
        </w:rPr>
      </w:pPr>
    </w:p>
    <w:p>
      <w:pPr>
        <w:ind w:left="960" w:hanging="51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personal and professional integrity, honesty and adherence to high ethical standards;</w:t>
      </w:r>
    </w:p>
    <w:p>
      <w:pPr>
        <w:spacing w:after="0" w:line="117" w:lineRule="exact"/>
        <w:rPr>
          <w:rFonts w:ascii="Times New Roman" w:cs="Times New Roman" w:eastAsia="Times New Roman" w:hAnsi="Times New Roman"/>
          <w:sz w:val="18"/>
          <w:szCs w:val="18"/>
          <w:color w:val="auto"/>
        </w:rPr>
      </w:pPr>
    </w:p>
    <w:p>
      <w:pPr>
        <w:ind w:left="960" w:right="620" w:hanging="512"/>
        <w:spacing w:after="0" w:line="312" w:lineRule="auto"/>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demonstrated business acumen, experience and ability to exercise sound judgments in matters that relate to the current and long-term objectives of our company and a willingness and ability to contribute positively to the decision-making process of our company;</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200" w:hanging="51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understand our company and its industry and to regularly attend and participate in meetings of our board of directors and its committees;</w:t>
      </w:r>
    </w:p>
    <w:p>
      <w:pPr>
        <w:spacing w:after="0" w:line="53" w:lineRule="exact"/>
        <w:rPr>
          <w:rFonts w:ascii="Times New Roman" w:cs="Times New Roman" w:eastAsia="Times New Roman" w:hAnsi="Times New Roman"/>
          <w:sz w:val="18"/>
          <w:szCs w:val="18"/>
          <w:color w:val="auto"/>
        </w:rPr>
      </w:pPr>
    </w:p>
    <w:p>
      <w:pPr>
        <w:ind w:left="960" w:right="540" w:hanging="512"/>
        <w:spacing w:after="0" w:line="312" w:lineRule="auto"/>
        <w:tabs>
          <w:tab w:leader="none" w:pos="9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and ability to understand the sometimes conflicting interests of the various constituencies of our company, which include stockholders, employees, customers, governmental units, creditors and the general public, and to act in the interests of all stockholders;</w:t>
      </w:r>
    </w:p>
    <w:p>
      <w:pPr>
        <w:spacing w:after="0" w:line="31" w:lineRule="exact"/>
        <w:rPr>
          <w:rFonts w:ascii="Times New Roman" w:cs="Times New Roman" w:eastAsia="Times New Roman" w:hAnsi="Times New Roman"/>
          <w:sz w:val="17"/>
          <w:szCs w:val="17"/>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represent the interests of all stockholders without having, or appearing to have, a conflict of interest;</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 and</w:t>
      </w:r>
    </w:p>
    <w:p>
      <w:pPr>
        <w:spacing w:after="0" w:line="117" w:lineRule="exact"/>
        <w:rPr>
          <w:rFonts w:ascii="Times New Roman" w:cs="Times New Roman" w:eastAsia="Times New Roman" w:hAnsi="Times New Roman"/>
          <w:sz w:val="18"/>
          <w:szCs w:val="18"/>
          <w:color w:val="auto"/>
        </w:rPr>
      </w:pPr>
    </w:p>
    <w:p>
      <w:pPr>
        <w:ind w:left="960" w:right="220" w:hanging="51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 and perspective, considered as a group, should provide a significant breadth of experience, knowledge and abilities that shall assist the board of directors in fulfilling its responsibilities.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corporate governance and nominating committee’s goal is to assemble a board of directors that brings to the company a variety of perspectives and skills derived from high quality business and professional experience. Moreover, the corporate governance and nominating committee believes that the background and qualifications of the board of directors, considered as a group, should provide a significant mix of experience, knowledge and abilities that will allow the board of directors to fulfill its responsibilities. Nominees are not discriminated against on the basis of race, religion, national origin, sex, sexual orientation, disability or any other basis proscribed by law.</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business acumen, the ability to contribute positively to the decision-making process of the Company, knowledge of our business, understanding of the competitive landscape and a reputation for integrity, honesty and adherence to high ethical standards. While we have no formal policy regarding board diversity, our corporate governance guidelines provide that the background and qualifications of the members of our board of directors considered as a group should provide a significant breadth of experience, knowledge, and ability to assist our board of directors in fulfilling its responsibilities. Our directors’ performance and qualification criteria are reviewed periodically by the corporate governance and nominating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and Evaluation of Nominees for Directors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corporate governance and nominating committee identifies nominees for director by first evaluating the current members of our board of directors willing to continue in service. Current members with qualifications and skills that are consistent with the corporate governance and nominating committee’s criteria for board of director service and who are willing to continue in service are considered for re-nomination, balancing the value of continuity of service by existing members of our board of directors with that of obtaining a new perspective or expertise.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committee generally inquires of our board of directors and members of management for their recommendations. The committee may also review the composition and qualification of the boards of directors of our competitors, and may seek input from industry experts or analysts. The corporate governance and nominating committee reviews the qualifications, experience and background of candidates. Final candidates, if other than our current directors, would be interviewed by the members of the corporate governance and nominating committee and by certain of our other independent directors and executive management. In making its determinations, the corporate governance and nominating committee evaluates each individual in the context of our board of directors as a whole, with the objective of assembling a group that can best contribute to the success of our company and represent stockholder interests through the exercise of sound judgment. After review and deliberation of all feedback and data, the corporate governance and nominating committee makes its recommendation to our board of directors. The corporate governance and nominating committee may use a third party search firm in those situations where particular qualifications are required or where existing contacts are not sufficient to identify an appropriate candidate.</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Stockholders may recommend individuals to our corporate governance and nominating committee for consideration as potential director candidates by submitting a recommendation in writing including:</w:t>
      </w:r>
    </w:p>
    <w:p>
      <w:pPr>
        <w:spacing w:after="0" w:line="54" w:lineRule="exact"/>
        <w:rPr>
          <w:sz w:val="20"/>
          <w:szCs w:val="20"/>
          <w:color w:val="auto"/>
        </w:rPr>
      </w:pPr>
    </w:p>
    <w:p>
      <w:pPr>
        <w:ind w:left="960" w:right="220" w:hanging="512"/>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making the recommendation, as they appear on our books and records, and of such record holder’s beneficial owner, if any;</w:t>
      </w:r>
    </w:p>
    <w:p>
      <w:pPr>
        <w:spacing w:after="0" w:line="53" w:lineRule="exact"/>
        <w:rPr>
          <w:rFonts w:ascii="Times New Roman" w:cs="Times New Roman" w:eastAsia="Times New Roman" w:hAnsi="Times New Roman"/>
          <w:sz w:val="18"/>
          <w:szCs w:val="18"/>
          <w:color w:val="auto"/>
        </w:rPr>
      </w:pPr>
    </w:p>
    <w:p>
      <w:pPr>
        <w:jc w:val="both"/>
        <w:ind w:left="960" w:right="260" w:hanging="512"/>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of our equity that are owned beneficially and held of record by such stockholder and such beneficial owner, including all “synthetic equity instruments” (e.g., derivatives, swaps, hedges, etc.), voting rights, rights to fees, dividends, or other material rights;</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individual recommended for consideration as a director nominee;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hanging="51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biographical information concerning the director candidate, including a statement about the candidate’s qualifications;</w:t>
      </w:r>
    </w:p>
    <w:p>
      <w:pPr>
        <w:spacing w:after="0" w:line="117" w:lineRule="exact"/>
        <w:rPr>
          <w:rFonts w:ascii="Times New Roman" w:cs="Times New Roman" w:eastAsia="Times New Roman" w:hAnsi="Times New Roman"/>
          <w:sz w:val="18"/>
          <w:szCs w:val="18"/>
          <w:color w:val="auto"/>
        </w:rPr>
      </w:pPr>
    </w:p>
    <w:p>
      <w:pPr>
        <w:ind w:left="960" w:right="380" w:hanging="51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(whether or not in writing) among such stockholder or such beneficial owner and any other person or persons pursuant to which the recommendation is being made;</w:t>
      </w:r>
    </w:p>
    <w:p>
      <w:pPr>
        <w:spacing w:after="0" w:line="53" w:lineRule="exact"/>
        <w:rPr>
          <w:rFonts w:ascii="Times New Roman" w:cs="Times New Roman" w:eastAsia="Times New Roman" w:hAnsi="Times New Roman"/>
          <w:sz w:val="18"/>
          <w:szCs w:val="18"/>
          <w:color w:val="auto"/>
        </w:rPr>
      </w:pPr>
    </w:p>
    <w:p>
      <w:pPr>
        <w:ind w:left="960" w:right="300" w:hanging="51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our company entitled to vote at such meeting and intends to appear in person or by proxy at the meeting to propose such candidate;</w:t>
      </w:r>
    </w:p>
    <w:p>
      <w:pPr>
        <w:spacing w:after="0" w:line="53" w:lineRule="exact"/>
        <w:rPr>
          <w:rFonts w:ascii="Times New Roman" w:cs="Times New Roman" w:eastAsia="Times New Roman" w:hAnsi="Times New Roman"/>
          <w:sz w:val="18"/>
          <w:szCs w:val="18"/>
          <w:color w:val="auto"/>
        </w:rPr>
      </w:pPr>
    </w:p>
    <w:p>
      <w:pPr>
        <w:ind w:left="960" w:right="140" w:hanging="512"/>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stockholder or the beneficial owner, if any, intends or is part of a group which intends to deliver a proxy statement and/or proxy card to holders of at least the percentage of our company’s outstanding capital stock required to approve or adopt the proposal or elect the nominee and/or otherwise to solicit proxies or votes from stockholders in support of such nomination;</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recommended candidate’s beneficial ownership in our securities; and</w:t>
      </w:r>
    </w:p>
    <w:p>
      <w:pPr>
        <w:spacing w:after="0" w:line="117" w:lineRule="exact"/>
        <w:rPr>
          <w:rFonts w:ascii="Times New Roman" w:cs="Times New Roman" w:eastAsia="Times New Roman" w:hAnsi="Times New Roman"/>
          <w:sz w:val="18"/>
          <w:szCs w:val="18"/>
          <w:color w:val="auto"/>
        </w:rPr>
      </w:pPr>
    </w:p>
    <w:p>
      <w:pPr>
        <w:ind w:left="960" w:right="140" w:hanging="512"/>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the recommended candidate that would be required to be disclosed in solicitations of proxies for the election of directors or is otherwise required, in each case pursuant to Regulation 14A under the Exchange Act, including the recommended candidate’s written consent to being named in the proxy statement as a nominee and to serving as a director if approved by the board and elected.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Recommendations must be sent to the Chairman of the Corporate Governance and Nominating Committee, c/o Secretary, Cue Biopharma, Inc., 40 Guest Street, Boston, Massachusetts 02135. Assuming that appropriate biographical and background materials have been provided on or before the dates set forth in the section below entitled “Stockholder Proposals for our 2026 Annual Meeting,” the committee will evaluate stockholder recommended candidates by following substantially the same process, and applying substantially the same criteria, as it follows for candidates by others, as described above.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or she considers appropriate.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chairman of the board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of directors should address such communications to Secretary, Cue Biopharma, Inc., 40 Guest Street, Boston, Massachusetts 02135.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met thirty five times during our fiscal year 2024, including telephonic meetings. During the year, each of our directors attended 75% or more of the aggregate number of meetings of the board of directors and the committees on which he or she served.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our company does not have a formal policy regarding attendance by members of our board of directors at our annual meeting, we encourage all of our directors to attend. For our annual meeting of stockholders in 2024, all of our directors who were then serving on our board of directors were in attendance.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corporate governance and nominating committee, and a science and technology strategy committee, each of which operates under a charter that has been approved by our board. A copy of the audit committee, compensation committee and corporate governance and nominating committee charters can be found under the “Investors &amp; Media—Corporate Governance” section of our website, which is located at www.cuebiopharma.com.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Frederick Driscoll, Frank Morich and Patrick Verheyen. Mr. Driscoll is the chair of the audit committee. Our audit committee’s responsibilities include:</w:t>
      </w:r>
    </w:p>
    <w:p>
      <w:pPr>
        <w:spacing w:after="0" w:line="54" w:lineRule="exact"/>
        <w:rPr>
          <w:sz w:val="20"/>
          <w:szCs w:val="20"/>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960" w:right="660" w:hanging="51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procedures for the receipt and retention of accounting related complaints and concerns;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over cybersecurity risk;</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held four meetings during 2024. Our board of directors has determined that Mr. Driscoll is an “audit committee financial expert” as defined in applicable SEC rules. Following the Annual Meeting, we expect that our board of directors will identify another director to serve on the audit committee and as our “audit committee financial expert.” We believe that the composition of our audit committee meets the requirements for independence under current Nasdaq and SEC rules and regulations. Our board of directors has also determined that each member of our audit committee can read and understand fundamental financial statements, in accordance with applicable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Peter A. Kiener, Pamela Garzone and Patrick Verheyen. Mr. Fox served as a member of the compensation committee until August 2024. Dr. Kiener is the chair of the compensation committee. Our compensation committee’s responsibilities include:</w:t>
      </w:r>
    </w:p>
    <w:p>
      <w:pPr>
        <w:spacing w:after="0" w:line="68" w:lineRule="exact"/>
        <w:rPr>
          <w:sz w:val="20"/>
          <w:szCs w:val="20"/>
          <w:color w:val="auto"/>
        </w:rPr>
      </w:pPr>
    </w:p>
    <w:p>
      <w:pPr>
        <w:ind w:left="960" w:right="420" w:hanging="51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with respect to,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960" w:right="600" w:hanging="51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chief executive officer’s performance relative to our goals and objectives and establishing the individual elements of the chief executive officer’s total compensation;</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117" w:lineRule="exact"/>
        <w:rPr>
          <w:rFonts w:ascii="Times New Roman" w:cs="Times New Roman" w:eastAsia="Times New Roman" w:hAnsi="Times New Roman"/>
          <w:sz w:val="18"/>
          <w:szCs w:val="18"/>
          <w:color w:val="auto"/>
        </w:rPr>
      </w:pPr>
    </w:p>
    <w:p>
      <w:pPr>
        <w:ind w:left="960" w:right="560" w:hanging="51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 and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then required by SEC rules.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engage independent legal counsel, independent consultants and other advisors to review any matter under its responsibility. The compensation committee may form, and delegate authority to, subcommittees when it deems appropriate. We believe that the composition of our compensation committee meets the requirements for independence under current Nasdaq and SEC rules and regulations. Our compensation committee held eight meetings during 2024.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members of our corporate governance and nominating committee are Frank Morich, Peter A. Kiener and Frederick Driscoll. Dr. Morich is the chair of the corporate governance and nominating committee. Our corporate governance and nominating committee’s responsibilities include:</w:t>
      </w:r>
    </w:p>
    <w:p>
      <w:pPr>
        <w:spacing w:after="0" w:line="54" w:lineRule="exact"/>
        <w:rPr>
          <w:sz w:val="20"/>
          <w:szCs w:val="20"/>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our board’s committees;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our board leadership structure;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with respect to compliance management and any compliance committee established;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 of directors.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our corporate governance and nominating committee meets the requirements for independence under current Nasdaq and SEC rules and regulations. The corporate governance and nominating committee held four meetings during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Strategy Committee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members of our science and technology strategy committee are Peter A. Kiener, Frank Morich and Pamela Garzone. Dr. Kiener is the chair of the science and technology strategy committee. Our science and technology strategy committee’s responsibilities include:</w:t>
      </w:r>
    </w:p>
    <w:p>
      <w:pPr>
        <w:spacing w:after="0" w:line="54" w:lineRule="exact"/>
        <w:rPr>
          <w:sz w:val="20"/>
          <w:szCs w:val="20"/>
          <w:color w:val="auto"/>
        </w:rPr>
      </w:pPr>
    </w:p>
    <w:p>
      <w:pPr>
        <w:ind w:left="960" w:right="200" w:hanging="51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providing counsel to our senior management regarding our scientific research and development strategies, programs and activities including assessments of strengths, weaknesses/gaps, opportunities and threats faced by the Company;</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with respect to strategic and tactical scientific issues; and</w:t>
      </w:r>
    </w:p>
    <w:p>
      <w:pPr>
        <w:spacing w:after="0" w:line="117" w:lineRule="exact"/>
        <w:rPr>
          <w:rFonts w:ascii="Times New Roman" w:cs="Times New Roman" w:eastAsia="Times New Roman" w:hAnsi="Times New Roman"/>
          <w:sz w:val="18"/>
          <w:szCs w:val="18"/>
          <w:color w:val="auto"/>
        </w:rPr>
      </w:pPr>
    </w:p>
    <w:p>
      <w:pPr>
        <w:ind w:left="960" w:right="100" w:hanging="512"/>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development of our scientific strategy and making recommendations to the board of directors regarding corporate positioning and technology status.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is actively involved in oversight of risks that could affect us. Our board of directors oversees our risk management processes directly and through its committees. Our management is responsible for risk management on a day-to-day basis. The role of our board of directors 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w:t>
      </w:r>
    </w:p>
    <w:p>
      <w:pPr>
        <w:spacing w:after="0" w:line="18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including oversight over cybersecurity risk. Oversight by our audit committee includes direct communications with our independent registered public accounting firm. Our compensation committee oversees risk management activities relating to our compensation policies and practices and assessing whether any of our compensation policies or programs has the potential to encourage excessive risk-taking. Oversight by our compensation committee includes direct communication with our independent compensation consultants. Our corporate governance and nominating committee oversees risk management activities relating to management succession planning, the composition of our board of directors and its committees, corporate governance and compliance. Our science and technology strategy committee assists the board of directors’ oversight of our scientific research and development strategies. Each committee reports to the full board of directors on a regular basis, including reports with respect to the committee’s risk oversight activities as appropriate. In addition, since risk issues often overlap, committees from time to time request that the full board of directors discuss particular risks.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2024. It is also our policy that we engage in transactions only in accordance with applicable U.S. securities laws, including those related to insider trading.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Pledging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our insider trading policy, our directors, officers, employees and/or consultants, as well as any immediate family members sharing the household of any of the foregoing, are prohibited from engaging in transactions in publicly traded options, such as puts, calls and other derivative securities, relating to our company. This prohibition also extends to various forms of hedging transactions or monetization transactions, such as zero-cost collars and forward sale contracts, as they involve the establishment of a short position in our securities. In addition, our insider trading policy prohibits such persons from holding our securities in a margin account or pledging such securities as collateral for a loan, with an exception in limited situations only with the preapproval of our chief financial officer and, in the case of directors and executive officers, the audit committee.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our directors and executive officers have adopted and may in the future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grant equity awards, including stock options and restricted stock units, to our employees and directors on an annual basis. We may also grant equity awards to individuals upon hire or promotion or for retention purposes. During the last fiscal year, neither our board of directors nor our compensation committee took material nonpublic information into account when determining the timing or terms of equity awards, nor did we time the disclosure of material nonpublic information for the purpose of affecting the value of executive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a compensation policy for our non-employee directors that is intended to enable us to attract and retain, on a long-term basis, highly qualified non-employee directors. Pursuant to our director compensation policy, our non-employee directors receive on an annual basis a $35,000 retainer paid in cash. In addition, the chairman of the board, if he or she is a non-employee director, receives an annual cash retainer of $30,000 and standing committee members receive the annual committee fees set forth below.</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6"/>
              </w:rPr>
              <w:t>15,000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(other than the committee Chair):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Committee Member (other than the committee</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Governance and Nominating Committee Chair:</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8"/>
              </w:rPr>
              <w:t>8,000</w:t>
            </w: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Governance and Nominating Member (other</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than the committee Chair):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4,000</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Science and Technology Strategy Committee Chair:</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Science and Technology Strategy Committee Member (other</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than the committee Chair):</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5,000</w:t>
            </w: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initial appointment to the board of directors, a non-employee director is awarded an option to purchase 48,800 shares of common stock that vest over three years with one-third vesting on the one-year anniversary of the grant date and the balance vesting in eight equal quarterly installments. On the first trading day following December 31 of each year, each non-employee director is awarded an option to purchase 24,400 shares of common stock. Such options vest and become exercisable as to 50% of</w:t>
      </w:r>
    </w:p>
    <w:p>
      <w:pPr>
        <w:sectPr>
          <w:pgSz w:w="11900" w:h="16838" w:orient="portrait"/>
          <w:cols w:equalWidth="0" w:num="1">
            <w:col w:w="11220"/>
          </w:cols>
          <w:pgMar w:left="320" w:top="11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shares on the six-month anniversary of the grant date and as to the remaining 50% on the first anniversary of the grant date.</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Daniel R. Passeri, a director who also serves as our chief executive officer, does not receive any additional compensation for his service as director. Mr. Passeri is one of our named executive officers and accordingly, the compensation we pay to Mr. Passeri is discussed under “Executive Compensation— Summary Compensation Table” and “Executive Compensation—Narrative to Summary Compensation Table.”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shows all compensation to our non-employee directors, including compensation for their services as a member or a chair of one of our standing committees, during the year ended December 31, 2024.</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0" w:type="dxa"/>
            <w:vAlign w:val="bottom"/>
          </w:tcPr>
          <w:p>
            <w:pPr>
              <w:spacing w:after="0"/>
              <w:rPr>
                <w:sz w:val="13"/>
                <w:szCs w:val="13"/>
                <w:color w:val="auto"/>
              </w:rPr>
            </w:pP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3"/>
                <w:szCs w:val="1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80" w:type="dxa"/>
            <w:vAlign w:val="bottom"/>
          </w:tcPr>
          <w:p>
            <w:pPr>
              <w:spacing w:after="0"/>
              <w:rPr>
                <w:sz w:val="13"/>
                <w:szCs w:val="13"/>
                <w:color w:val="auto"/>
              </w:rPr>
            </w:pPr>
          </w:p>
        </w:tc>
        <w:tc>
          <w:tcPr>
            <w:tcW w:w="16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8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80" w:type="dxa"/>
            <w:vAlign w:val="bottom"/>
          </w:tcPr>
          <w:p>
            <w:pPr>
              <w:spacing w:after="0"/>
              <w:rPr>
                <w:sz w:val="15"/>
                <w:szCs w:val="15"/>
                <w:color w:val="auto"/>
              </w:rPr>
            </w:pPr>
          </w:p>
        </w:tc>
        <w:tc>
          <w:tcPr>
            <w:tcW w:w="15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Garzone</w:t>
            </w:r>
          </w:p>
        </w:tc>
        <w:tc>
          <w:tcPr>
            <w:tcW w:w="18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50,000</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45,750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95,750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Patrick Verheyen</w:t>
            </w:r>
          </w:p>
        </w:tc>
        <w:tc>
          <w:tcPr>
            <w:tcW w:w="1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57,500</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45,750</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103,250</w:t>
            </w:r>
          </w:p>
        </w:tc>
        <w:tc>
          <w:tcPr>
            <w:tcW w:w="0" w:type="dxa"/>
            <w:vAlign w:val="bottom"/>
          </w:tcPr>
          <w:p>
            <w:pPr>
              <w:spacing w:after="0"/>
              <w:rPr>
                <w:sz w:val="1"/>
                <w:szCs w:val="1"/>
                <w:color w:val="auto"/>
              </w:rPr>
            </w:pPr>
          </w:p>
        </w:tc>
      </w:tr>
      <w:tr>
        <w:trPr>
          <w:trHeight w:val="162"/>
        </w:trPr>
        <w:tc>
          <w:tcPr>
            <w:tcW w:w="18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Frank Morich</w:t>
            </w:r>
          </w:p>
        </w:tc>
        <w:tc>
          <w:tcPr>
            <w:tcW w:w="182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rPr>
              <w:t>70,137</w:t>
            </w:r>
          </w:p>
        </w:tc>
        <w:tc>
          <w:tcPr>
            <w:tcW w:w="178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rPr>
              <w:t>45,750</w:t>
            </w:r>
          </w:p>
        </w:tc>
        <w:tc>
          <w:tcPr>
            <w:tcW w:w="18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w w:val="99"/>
              </w:rPr>
              <w:t>115,887</w:t>
            </w:r>
          </w:p>
        </w:tc>
        <w:tc>
          <w:tcPr>
            <w:tcW w:w="0" w:type="dxa"/>
            <w:vAlign w:val="bottom"/>
          </w:tcPr>
          <w:p>
            <w:pPr>
              <w:spacing w:after="0"/>
              <w:rPr>
                <w:sz w:val="1"/>
                <w:szCs w:val="1"/>
                <w:color w:val="auto"/>
              </w:rPr>
            </w:pPr>
          </w:p>
        </w:tc>
      </w:tr>
      <w:tr>
        <w:trPr>
          <w:trHeight w:val="270"/>
        </w:trPr>
        <w:tc>
          <w:tcPr>
            <w:tcW w:w="1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Michael J. Fox </w:t>
            </w:r>
            <w:r>
              <w:rPr>
                <w:rFonts w:ascii="Times New Roman" w:cs="Times New Roman" w:eastAsia="Times New Roman" w:hAnsi="Times New Roman"/>
                <w:sz w:val="26"/>
                <w:szCs w:val="26"/>
                <w:color w:val="auto"/>
                <w:vertAlign w:val="superscript"/>
              </w:rPr>
              <w:t>(3)</w:t>
            </w:r>
          </w:p>
        </w:tc>
        <w:tc>
          <w:tcPr>
            <w:tcW w:w="1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10,625</w:t>
            </w:r>
          </w:p>
        </w:tc>
        <w:tc>
          <w:tcPr>
            <w:tcW w:w="1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A. Kiener</w:t>
            </w:r>
          </w:p>
        </w:tc>
        <w:tc>
          <w:tcPr>
            <w:tcW w:w="18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64,000</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45,750</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110,000</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219,750</w:t>
            </w:r>
          </w:p>
        </w:tc>
        <w:tc>
          <w:tcPr>
            <w:tcW w:w="0" w:type="dxa"/>
            <w:vAlign w:val="bottom"/>
          </w:tcPr>
          <w:p>
            <w:pPr>
              <w:spacing w:after="0"/>
              <w:rPr>
                <w:sz w:val="1"/>
                <w:szCs w:val="1"/>
                <w:color w:val="auto"/>
              </w:rPr>
            </w:pPr>
          </w:p>
        </w:tc>
      </w:tr>
      <w:tr>
        <w:trPr>
          <w:trHeight w:val="162"/>
        </w:trPr>
        <w:tc>
          <w:tcPr>
            <w:tcW w:w="186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Frederick Driscoll</w:t>
            </w:r>
          </w:p>
        </w:tc>
        <w:tc>
          <w:tcPr>
            <w:tcW w:w="182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rPr>
              <w:t>54,000</w:t>
            </w:r>
          </w:p>
        </w:tc>
        <w:tc>
          <w:tcPr>
            <w:tcW w:w="178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rPr>
              <w:t>45,750</w:t>
            </w:r>
          </w:p>
        </w:tc>
        <w:tc>
          <w:tcPr>
            <w:tcW w:w="18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ind w:left="70"/>
              <w:spacing w:after="0" w:line="162" w:lineRule="exact"/>
              <w:rPr>
                <w:sz w:val="20"/>
                <w:szCs w:val="20"/>
                <w:color w:val="auto"/>
              </w:rPr>
            </w:pPr>
            <w:r>
              <w:rPr>
                <w:rFonts w:ascii="Times New Roman" w:cs="Times New Roman" w:eastAsia="Times New Roman" w:hAnsi="Times New Roman"/>
                <w:sz w:val="18"/>
                <w:szCs w:val="18"/>
                <w:color w:val="auto"/>
              </w:rPr>
              <w:t>99,750</w:t>
            </w:r>
          </w:p>
        </w:tc>
        <w:tc>
          <w:tcPr>
            <w:tcW w:w="0" w:type="dxa"/>
            <w:vAlign w:val="bottom"/>
          </w:tcPr>
          <w:p>
            <w:pPr>
              <w:spacing w:after="0"/>
              <w:rPr>
                <w:sz w:val="1"/>
                <w:szCs w:val="1"/>
                <w:color w:val="auto"/>
              </w:rPr>
            </w:pPr>
          </w:p>
        </w:tc>
      </w:tr>
      <w:tr>
        <w:trPr>
          <w:trHeight w:val="270"/>
        </w:trPr>
        <w:tc>
          <w:tcPr>
            <w:tcW w:w="1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Pasha Sarraf </w:t>
            </w:r>
            <w:r>
              <w:rPr>
                <w:rFonts w:ascii="Times New Roman" w:cs="Times New Roman" w:eastAsia="Times New Roman" w:hAnsi="Times New Roman"/>
                <w:sz w:val="28"/>
                <w:szCs w:val="28"/>
                <w:color w:val="auto"/>
                <w:vertAlign w:val="superscript"/>
              </w:rPr>
              <w:t>(4)</w:t>
            </w:r>
          </w:p>
        </w:tc>
        <w:tc>
          <w:tcPr>
            <w:tcW w:w="18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-685165</wp:posOffset>
            </wp:positionV>
            <wp:extent cx="57003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-136525</wp:posOffset>
            </wp:positionV>
            <wp:extent cx="570039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indicate the grant date fair value of option awards granted in the subject year computed in accordance with FASB ASC Topic 718. For additional information regarding the assumptions made in calculating these amounts, see Note 8 to our audited financial statements included with our Annual Report on Form 10-K for the year ended December 31, 2024 filed with the SEC.</w:t>
      </w: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consulting fees paid to Dr. Kiener.</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Fox joined our board of directors in June 2024 and resigned from our board of directors effective August 28, 2024.</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Sarraf joined our board of directors in March 2025.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number of shares subject to outstanding option awards held by each non-employee director as of December 31, 2024:</w:t>
      </w:r>
    </w:p>
    <w:p>
      <w:pPr>
        <w:spacing w:after="0" w:line="206"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 Outstanding</w:t>
            </w:r>
          </w:p>
        </w:tc>
        <w:tc>
          <w:tcPr>
            <w:tcW w:w="0" w:type="dxa"/>
            <w:vAlign w:val="bottom"/>
          </w:tcPr>
          <w:p>
            <w:pPr>
              <w:spacing w:after="0"/>
              <w:rPr>
                <w:sz w:val="1"/>
                <w:szCs w:val="1"/>
                <w:color w:val="auto"/>
              </w:rPr>
            </w:pPr>
          </w:p>
        </w:tc>
      </w:tr>
      <w:tr>
        <w:trPr>
          <w:trHeight w:val="173"/>
        </w:trPr>
        <w:tc>
          <w:tcPr>
            <w:tcW w:w="21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Awards (#)</w:t>
            </w:r>
          </w:p>
        </w:tc>
        <w:tc>
          <w:tcPr>
            <w:tcW w:w="0" w:type="dxa"/>
            <w:vAlign w:val="bottom"/>
          </w:tcPr>
          <w:p>
            <w:pPr>
              <w:spacing w:after="0"/>
              <w:rPr>
                <w:sz w:val="1"/>
                <w:szCs w:val="1"/>
                <w:color w:val="auto"/>
              </w:rPr>
            </w:pPr>
          </w:p>
        </w:tc>
      </w:tr>
      <w:tr>
        <w:trPr>
          <w:trHeight w:val="21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Garzone</w:t>
            </w:r>
          </w:p>
        </w:tc>
        <w:tc>
          <w:tcPr>
            <w:tcW w:w="26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64,400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Patrick Verheyen</w:t>
            </w:r>
          </w:p>
        </w:tc>
        <w:tc>
          <w:tcPr>
            <w:tcW w:w="26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64,400</w:t>
            </w: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Frank Morich</w:t>
            </w:r>
          </w:p>
        </w:tc>
        <w:tc>
          <w:tcPr>
            <w:tcW w:w="26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121,600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Michael J. Fox</w:t>
            </w: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A. Kiener</w:t>
            </w:r>
          </w:p>
        </w:tc>
        <w:tc>
          <w:tcPr>
            <w:tcW w:w="26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Frederick Driscoll</w:t>
            </w:r>
          </w:p>
        </w:tc>
        <w:tc>
          <w:tcPr>
            <w:tcW w:w="26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120,400</w:t>
            </w: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Pasha Sarraf</w:t>
            </w:r>
          </w:p>
        </w:tc>
        <w:tc>
          <w:tcPr>
            <w:tcW w:w="240" w:type="dxa"/>
            <w:vAlign w:val="bottom"/>
            <w:shd w:val="clear" w:color="auto" w:fill="CFF0FC"/>
          </w:tcPr>
          <w:p>
            <w:pPr>
              <w:spacing w:after="0"/>
              <w:rPr>
                <w:sz w:val="18"/>
                <w:szCs w:val="18"/>
                <w:color w:val="auto"/>
              </w:rPr>
            </w:pP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as a director.</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to our directors and officers in connection with legal proceedings.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directors, executive officers or persons controlling us,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We have reviewed the Company’s audited consolidated financial statements for the fiscal year ended December 31, 2024 and discussed them with Company management and RSM US LLP, or RSM, the Company’s independent registered public accounting firm.</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received from, and discussed with, RSM, which is responsible for expressing an opinion on the conformity of the Company’s audited consolidated financial statements with accounting principles generally accepted in the United States, its judgments as to the quality, not just the acceptability, of the Company’s accounting principles and such other matters as are required to be discussed with the audit committee under generally accepted auditing standards, including the matters required to be discussed by the applicable requirements of the Public Company Accounting Oversight Board, or the PCAOB, and the SEC. In addition, we have received from RSM the written disclosures and the letter required by applicable requirements of the PCAOB regarding its communications with us concerning independence, have considered the compatibility of non-audit services with the auditors’ independence and have discussed with RSM its independence from management and the Company.</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we recommended to the board of directors that the audited consolidated financial statements be included in the Company’s Annual Report on Form 10-K for the year ended December 31, 2024.</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Driscoll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Morich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Verheyen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24"/>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April 11, 2025:</w:t>
            </w:r>
          </w:p>
        </w:tc>
      </w:tr>
      <w:tr>
        <w:trPr>
          <w:trHeight w:val="473"/>
        </w:trPr>
        <w:tc>
          <w:tcPr>
            <w:tcW w:w="35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Pr>
          <w:p>
            <w:pPr>
              <w:spacing w:after="0"/>
              <w:rPr>
                <w:sz w:val="24"/>
                <w:szCs w:val="24"/>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(s)</w:t>
            </w:r>
          </w:p>
        </w:tc>
      </w:tr>
      <w:tr>
        <w:trPr>
          <w:trHeight w:val="20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R. Passeri</w:t>
            </w:r>
          </w:p>
        </w:tc>
        <w:tc>
          <w:tcPr>
            <w:tcW w:w="9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shd w:val="clear" w:color="auto" w:fill="CFF0FC"/>
          </w:tcPr>
          <w:p>
            <w:pPr>
              <w:spacing w:after="0"/>
              <w:rPr>
                <w:sz w:val="18"/>
                <w:szCs w:val="18"/>
                <w:color w:val="auto"/>
              </w:rPr>
            </w:pPr>
          </w:p>
        </w:tc>
        <w:tc>
          <w:tcPr>
            <w:tcW w:w="6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Kerri-Ann Millar</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Matteo Levisetti</w:t>
            </w:r>
          </w:p>
        </w:tc>
        <w:tc>
          <w:tcPr>
            <w:tcW w:w="9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shd w:val="clear" w:color="auto" w:fill="CFF0FC"/>
          </w:tcPr>
          <w:p>
            <w:pPr>
              <w:spacing w:after="0"/>
              <w:rPr>
                <w:sz w:val="18"/>
                <w:szCs w:val="18"/>
                <w:color w:val="auto"/>
              </w:rPr>
            </w:pPr>
          </w:p>
        </w:tc>
        <w:tc>
          <w:tcPr>
            <w:tcW w:w="6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Colin G. Sandercock</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Lucinda Warren</w:t>
            </w:r>
          </w:p>
        </w:tc>
        <w:tc>
          <w:tcPr>
            <w:tcW w:w="9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shd w:val="clear" w:color="auto" w:fill="CFF0FC"/>
          </w:tcPr>
          <w:p>
            <w:pPr>
              <w:spacing w:after="0"/>
              <w:rPr>
                <w:sz w:val="18"/>
                <w:szCs w:val="18"/>
                <w:color w:val="auto"/>
              </w:rPr>
            </w:pPr>
          </w:p>
        </w:tc>
        <w:tc>
          <w:tcPr>
            <w:tcW w:w="6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G. Baker</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74</w:t>
            </w:r>
          </w:p>
        </w:tc>
        <w:tc>
          <w:tcPr>
            <w:tcW w:w="24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Development Officer</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Daniel R. Passeri </w:t>
      </w:r>
      <w:r>
        <w:rPr>
          <w:rFonts w:ascii="Times New Roman" w:cs="Times New Roman" w:eastAsia="Times New Roman" w:hAnsi="Times New Roman"/>
          <w:sz w:val="18"/>
          <w:szCs w:val="18"/>
          <w:color w:val="auto"/>
        </w:rPr>
        <w:t>is discussed above under “Information Regarding Director Nominees.”</w:t>
      </w:r>
    </w:p>
    <w:p>
      <w:pPr>
        <w:spacing w:after="0" w:line="225"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Kerri-Ann Millar </w:t>
      </w:r>
      <w:r>
        <w:rPr>
          <w:rFonts w:ascii="Times New Roman" w:cs="Times New Roman" w:eastAsia="Times New Roman" w:hAnsi="Times New Roman"/>
          <w:sz w:val="18"/>
          <w:szCs w:val="18"/>
          <w:color w:val="auto"/>
        </w:rPr>
        <w:t>has been our Chief Financial Officer since August 2020. Previously, she served as Vice President of Finance since May 2018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Controller from September 2017 to May 2018. Prior to joining Cue Biopharma, Ms. Millar served as Corporate Controller of Flexion Therapeutics, a biopharmaceutical company, from March 2014 to September 2017. From May 2005 to March 2014, Ms. Millar served as Finance Specialist for Curis. Ms. Millar holds a B.S. in accounting and finance from Boston University and is a Certified Public Accountant.</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Matteo Levisetti </w:t>
      </w:r>
      <w:r>
        <w:rPr>
          <w:rFonts w:ascii="Times New Roman" w:cs="Times New Roman" w:eastAsia="Times New Roman" w:hAnsi="Times New Roman"/>
          <w:sz w:val="18"/>
          <w:szCs w:val="18"/>
          <w:color w:val="auto"/>
        </w:rPr>
        <w:t>has served as our Chief Medical Officer since January 2023. Prior to that, Dr. Levisetti served as our Senior Vice President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February 2021 until January 2023. Prior to joining Cue Biopharma, he held Chief Medical Officer positions at DNAtrix, Inc., a biotechnology company, from May 2019 to February 2021 and Dauntless Pharmaceuticals, Inc., a therapeutics company, from May 2017 to June 2018, where he directed and managed clinical development and operations, and regulatory strategy for a number of endocrinology and oncology assets. Previously, he directed immuno-oncology programs as executive director of clinical development at Mirati Therapeutics, Inc., or Mirati. Before joining Mirati, Dr. Levisetti served as Global Head &amp; Vice President, Translational Medicine, Immunology and Inflammation at Roche Pharma Research &amp; Early Development, a division of Roche Holding AG. Prior to that, he held several senior clinical development positions at Pfizer Inc., where he led multiple early clinical development programs across several therapeutic areas, including endocrinology, immunology and oncology. Dr. Levisetti received his M.D. from the University of Chicago Pritzker School of Medicine and served on the faculty at Washington University School of Medicine prior to his transition to leadership roles in industry.</w:t>
      </w:r>
    </w:p>
    <w:p>
      <w:pPr>
        <w:spacing w:after="0" w:line="185"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Colin G. Sandercock </w:t>
      </w:r>
      <w:r>
        <w:rPr>
          <w:rFonts w:ascii="Times New Roman" w:cs="Times New Roman" w:eastAsia="Times New Roman" w:hAnsi="Times New Roman"/>
          <w:sz w:val="17"/>
          <w:szCs w:val="17"/>
          <w:color w:val="auto"/>
        </w:rPr>
        <w:t>has been our Senior Vice President, General Counsel and Secretary since December 2017. Prior to joining Cue Biopharma, he was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at Perkins Coie LLP from July 2010 to December 2017, practicing in the areas of patent litigation, procurement, management and enforcement of domestic and foreign patent portfolio, licensing disputes, trademark disputes, and opinions relating to infringement, validity and freedom to operate. Mr.</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Sandercock holds a B.S. in Chemistry and Mathematics from Moravian College, a Materials Science &amp; Engineering (M.S.E.) degree in Chemical and Biochemical Engineering from the University of Pennsylvania and a J.D. from Catholic University, Columbus School of Law.</w:t>
      </w:r>
    </w:p>
    <w:p>
      <w:pPr>
        <w:spacing w:after="0" w:line="17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Lucinda Warren </w:t>
      </w:r>
      <w:r>
        <w:rPr>
          <w:rFonts w:ascii="Times New Roman" w:cs="Times New Roman" w:eastAsia="Times New Roman" w:hAnsi="Times New Roman"/>
          <w:sz w:val="18"/>
          <w:szCs w:val="18"/>
          <w:color w:val="auto"/>
        </w:rPr>
        <w:t>has been our Chief Business Officer since September 2024. She has over 30 years of global experience in the pharmaceutical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sectors. Prior to joining Cue Biopharma, she served as vice president of business development for Neuroscience and Japan Regionally at Johnson &amp; Johnson, a healthcare products company, from 2014 to 2024, where she was responsible for end-to-end business development, including licensing, mergers and acquisitions, and alliance management. Her leadership was instrumental in optimizing resources, fostering high-performing teams, and cultivating strong relationships with stakeholders. Ms. Warren’s extensive experience also includes significant roles at Janssen Cilag Australia and Janssen Biologics, where she led business units and managed global transitions, consistently delivering value through strategic transactions. She currently serves on the boards of International School Services and the Association of Strategic Alliance Professionals , contributing her expertise in finance and governance. Ms. Warren holds a B.S. in biological sciences with a minor in neurology from the University of Alberta.</w:t>
      </w:r>
    </w:p>
    <w:p>
      <w:pPr>
        <w:spacing w:after="0" w:line="1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G. Baker </w:t>
      </w:r>
      <w:r>
        <w:rPr>
          <w:rFonts w:ascii="Times New Roman" w:cs="Times New Roman" w:eastAsia="Times New Roman" w:hAnsi="Times New Roman"/>
          <w:sz w:val="18"/>
          <w:szCs w:val="18"/>
          <w:color w:val="auto"/>
        </w:rPr>
        <w:t>has been our Interim Chief Development Officer since November 2024. Dr. Baker has over 20 years of drug development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pharmaceutical industry. Dr. Baker is the founder of Kira Therapeutics, a biotechnology company, where he has served as Chief Executive Officer since 2019. He also served as an Executive Director on the board of Galapagos NV, a publicly traded biotechnology company, from April 2022 until October 2024. From 2000 to 2019, he served as Vice President, Immunology R&amp;D at Johnson &amp; Johnson's Janssen/Centocor division, which is now part of Johnson &amp; Johnson Innovative Medicine, where his responsibilities included clinical development of Remicade, Simponi and Stelara, as well as other major clinical drug programs. His supervision and oversight of numerous Phase 1 to 3 clinical trials in multiple disease areas led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more than 15 regulatory approvals in the U.S., Europe and Japan. In 2015, Dr. Baker assumed the role of Disease Area Stronghold Leader, where he was responsible for Phase 2 and 3 clinical trial development plans for rheumatology products and the overall portfolio strategy in rheumatology and immunology. Dr. Baker received his M.D. from the University of Pennsylvania. He completed his residency at the Penn State Health Milton S. Hershey Medical Center and his fellowship in rheumatology and immunology at the University of Pennsylvania, followed by a research fellowship in rheumatology at Massachusetts General Hospital.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compensation philosophy is to offer our executive officers compensation and benefits that are competitive and meet our goals of attracting, retaining and motivating highly skilled management, which is necessary to achieve our financial and strategic objectives and create long-term value for our stockholders. We believe the levels of compensation we provide should be competitive, reasonable and appropriate for our business needs and circumstances. The principal elements of our executive compensation program have to date included base salary, bonus and long-term equity compensation in the form of stock options. We believe successful long-term company performance is more critical to enhancing stockholder value than short-term results. For this reason and to conserve cash and better align the interests of management and our stockholders, we emphasize long-term performance-based equity compensation over base annual salaries and annual bonuses.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administered by our compensation committee, subject to the oversight and approval of our full board of directors. Our compensation committee reviews our executive compensation practices on an annual basis and based on this review approves or, as appropriate, makes recommendations to our board of directors for approval of our executive compensation program. Our chief executive officer recommends annual executive salary increases, annual equity awards and bonuses, if any, for the other executive officers, which are then reviewed and approved or adjusted by the compensation committee.</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designing our executive compensation program, our compensation committee considers publicly available compensation data for national and regional companies in the biotechnology/pharmaceutical industry to help guide its executive compensation decisions at the time of hiring and for subsequent adjustments in compensation. In 2023 and 2024, our compensation committee retained Radford, an AON Hewitt company, as its independent compensation consultant to provide comparative data on executive compensation practices in our industry and to advise on our executive compensation program generally. The compensation committee also retained Radford for recommendations and review of non-employee director compensation in 2024. Although our compensation committee considers the advice and recommendations of Radford as to our executive compensation program, our compensation committee ultimately makes their own decisions about these matters. In the future, we expect that our compensation committee will continue to engage independent compensation consultants to provide additional guidance on our executive compensation programs and to conduct further competitive benchmarking against a peer group of publicly traded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describes the material elements of compensation awarded to, or earned by or paid to, our named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for the years ended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140" w:type="dxa"/>
            <w:vAlign w:val="bottom"/>
          </w:tcPr>
          <w:p>
            <w:pPr>
              <w:spacing w:after="0"/>
              <w:rPr>
                <w:sz w:val="11"/>
                <w:szCs w:val="11"/>
                <w:color w:val="auto"/>
              </w:rPr>
            </w:pPr>
          </w:p>
        </w:tc>
        <w:tc>
          <w:tcPr>
            <w:tcW w:w="1380" w:type="dxa"/>
            <w:vAlign w:val="bottom"/>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55"/>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6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4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4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8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w:t>
            </w:r>
          </w:p>
        </w:tc>
      </w:tr>
      <w:tr>
        <w:trPr>
          <w:trHeight w:val="19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Daniel R. Passeri</w:t>
            </w:r>
          </w:p>
        </w:tc>
        <w:tc>
          <w:tcPr>
            <w:tcW w:w="5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492,910</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186,660</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711,195</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3,156</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1,393,921</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604,824</w:t>
            </w: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2,407,500</w:t>
            </w:r>
          </w:p>
        </w:tc>
        <w:tc>
          <w:tcPr>
            <w:tcW w:w="1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3,156</w:t>
            </w:r>
          </w:p>
        </w:tc>
        <w:tc>
          <w:tcPr>
            <w:tcW w:w="2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3,015,480</w:t>
            </w:r>
          </w:p>
        </w:tc>
      </w:tr>
      <w:tr>
        <w:trPr>
          <w:trHeight w:val="20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Kerri-Ann Millar</w:t>
            </w:r>
          </w:p>
        </w:tc>
        <w:tc>
          <w:tcPr>
            <w:tcW w:w="5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463,000</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111,120</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467,508</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3,156</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1,044,784</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444,181</w:t>
            </w: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715,201</w:t>
            </w:r>
          </w:p>
        </w:tc>
        <w:tc>
          <w:tcPr>
            <w:tcW w:w="1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3,156</w:t>
            </w:r>
          </w:p>
        </w:tc>
        <w:tc>
          <w:tcPr>
            <w:tcW w:w="2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1,162,538</w:t>
            </w:r>
          </w:p>
        </w:tc>
      </w:tr>
      <w:tr>
        <w:trPr>
          <w:trHeight w:val="203"/>
        </w:trPr>
        <w:tc>
          <w:tcPr>
            <w:tcW w:w="320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Anish Suri </w:t>
            </w:r>
            <w:r>
              <w:rPr>
                <w:rFonts w:ascii="Times New Roman" w:cs="Times New Roman" w:eastAsia="Times New Roman" w:hAnsi="Times New Roman"/>
                <w:sz w:val="21"/>
                <w:szCs w:val="21"/>
                <w:color w:val="auto"/>
                <w:vertAlign w:val="superscript"/>
              </w:rPr>
              <w:t>(5)</w:t>
            </w:r>
          </w:p>
        </w:tc>
        <w:tc>
          <w:tcPr>
            <w:tcW w:w="5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465,411</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703,635</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11,068</w:t>
            </w:r>
          </w:p>
        </w:tc>
        <w:tc>
          <w:tcPr>
            <w:tcW w:w="2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93"/>
              </w:rPr>
              <w:t>(6)</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1,180,114</w:t>
            </w: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Former President and Chief Scientific Officer</w:t>
            </w:r>
          </w:p>
        </w:tc>
        <w:tc>
          <w:tcPr>
            <w:tcW w:w="5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481,486</w:t>
            </w: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757,826</w:t>
            </w:r>
          </w:p>
        </w:tc>
        <w:tc>
          <w:tcPr>
            <w:tcW w:w="1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3,156</w:t>
            </w:r>
          </w:p>
        </w:tc>
        <w:tc>
          <w:tcPr>
            <w:tcW w:w="2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1,242,468</w:t>
            </w:r>
          </w:p>
        </w:tc>
      </w:tr>
      <w:tr>
        <w:trPr>
          <w:trHeight w:val="20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Matteo Levisetti</w:t>
            </w:r>
          </w:p>
        </w:tc>
        <w:tc>
          <w:tcPr>
            <w:tcW w:w="5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478,217</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114,816</w:t>
            </w:r>
          </w:p>
        </w:tc>
        <w:tc>
          <w:tcPr>
            <w:tcW w:w="15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595,927</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2,316</w:t>
            </w: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1,191,276</w:t>
            </w:r>
          </w:p>
        </w:tc>
      </w:tr>
      <w:tr>
        <w:trPr>
          <w:trHeight w:val="212"/>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8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refers to base salary compensation paid through our normal payroll process in the calendar year.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refers to bonuses paid in the following year based on achievement of corporate goals in the year shown.</w:t>
      </w:r>
    </w:p>
    <w:p>
      <w:pPr>
        <w:spacing w:after="0" w:line="11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indicate the grant date fair value of option awards granted in the subject year computed in accordance with FASB ASC Topic 718. For additional information regarding the assumptions made in calculating these amounts, see Note 8 to our audited financial statements included with our Annual Report on Form 10-K for the year ended December 31, 2024 filed with the SEC.</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consist of parking fees and executive disability benefit premiums paid by the Company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right="8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Suri resigned from his role as President and Chief Scientific Officer in November 2024, at which time he began to provide other consulting and advisory services to the Company.</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$7,912 represents consulting fees paid to Dr. Suri by the Company in 2024 following his resignation from his role as President and Chief Scientific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None of our named executive officers are currently party to an employment agreement or other agreement or arrangement that provides for automatic or scheduled increases in base salary.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February 2024, the board of directors increased the annual base salary, effective January 1, 2024, for Mr. Passeri, Ms. Millar, Dr. Suri and Dr. Levisetti to $622,200, $463,000, $502,320 and $478,217, respectively. Subsequently in July 2024, Mr. Passeri voluntarily offered and agreed to reduce his 2024 annual base salary by 50%. He has been paid an annual base salary of $311,100 from July 2024 through the date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2025, the board of directors increased the annual base salary, effective January 1, 2025, for Ms. Millar and Dr. Levisetti to $474,575 and</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$499,928, respectively. For 2025, Mr. Passeri has voluntary offered and agreed to continue to be paid $311,100, which represents half of his annual base salary.</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Bonus. </w:t>
      </w:r>
      <w:r>
        <w:rPr>
          <w:rFonts w:ascii="Times New Roman" w:cs="Times New Roman" w:eastAsia="Times New Roman" w:hAnsi="Times New Roman"/>
          <w:sz w:val="18"/>
          <w:szCs w:val="18"/>
          <w:color w:val="auto"/>
        </w:rPr>
        <w:t>Our board of directors may, in its discretion, award bonuses to our named executive officers from time to time. Our letter agreements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named executive officers provide that they will be eligible for annual performance-based bonuses up to a specified percentage of their salary, subject to approval by our board of directors. We typically establish annual bonus targets based around a set of specified corporate goals for our named executive officers and conduct an annual performance review to determine the attainment of such goals. Our management may propose bonus awards to our compensation committee primarily based on such review process. Our board of directors makes the final determination of the eligibility requirements for and the amount of such bonus awards based on the recommendation of the compensation committee. The final evaluation made by our board of directors does not involve a predetermined mathematical formula.</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Target bonuses as a percentage of annual base salary for 2024 were 50% for Mr. Passeri, 40% for Ms. Millar and 40% for Dr. Levisetti. Dr. Suri was not eligible to receive a 2024 bonus due to his resignation from the role of President and Chief Scientific Officer in November 2024.</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2024, the categories of corporate goals that we used to propose performance-based bonuses to our compensation committee included corporate strategy, advancing our portfolio and platform, clinical development, corporate development, financing, and organizational effectiveness. Based on our achievement or partial achievement, on or before our projected timeline, of specific goals within each category, the board of directors determined that we achieved 80% of the specified corporate goals for 2024. The board of directors approves performance-based bonuses for our named executive officers upon consideration of these corporate achievements, along with subjective factors related to each named executive officer’s individual performance, responsibilities and then-existing compensation levels. With respect to 2024, the board of directors awarded bonuses of $186,660, $111,120 and $114,816 to Mr. Passeri, Ms. Millar and Dr. Levisetti, respectively, in each case based on achievement of corporate goals in 2024, with such amount representing 60% of each such officer’s performance bonus target for 2024.</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February 2025, target bonuses as a percentage of annual base salary for 2025 for Mr. Passeri, Ms. Millar and Dr. Levisetti remained at 50%, 40% and 40%, respectively.</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generally plans to annually grant equity incentive awards to them in the form of stock option awards. In addition to our annual grants to current employees, we typically grant stock option awards at the start of employment to each executive and our other employees. We have retained discretion to provide additional targeted grants in certain circumstances.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typically award our stock options on the date our board of directors approves the grant. We set the option exercise price and grant-date fair value based on our per-share estimated valuation on the date of grant. For grants in connection with initial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employment, vesting begins on the initial date of employment. Time vested stock option grants to our executives and other employees typically vest in eight equal semi-annual installments, through the fourth anniversary of the vesting commencement date, and have a term of ten years from the grant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2023, we granted performance-based options to purchase 25,000 shares of our common stock to Dr. Levisetti at an exercise price of $3.36. The options vested in full in February 2024.</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March 2024, we granted options to purchase 400,000, 250,000, 300,000 and 260,000 shares of our common stock to Mr. Passeri, Ms. Millar, Dr. Suri, and Dr. Levisetti, respectively, at an exercise price of $1.94. Such options vest in eight equal semi-annual installments beginning September 6, 2024.</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June 2024, we granted options to purchase 60,000, 150,000 and 125,000 shares of our common stock to Ms. Millar, Dr. Suri, and Dr. Levisetti, respectively, at an exercise price of $1.65. Such options vest in eight equal semi-annual installments beginning on December 5, 2024.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March 2025, we granted options to purchase 450,000, 200,000, and 250,000 shares of our common stock to Mr. Passeri, Ms. Millar and Dr. Levisetti, respectively, at an exercise price of $0.99. Such options vest in eight equal semi-annual installments beginning September 21, 2025.</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all outstanding stock options held by each of our named executive officers as of December 31,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3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3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40" w:type="dxa"/>
            <w:vAlign w:val="bottom"/>
          </w:tcPr>
          <w:p>
            <w:pPr>
              <w:spacing w:after="0"/>
              <w:rPr>
                <w:sz w:val="12"/>
                <w:szCs w:val="12"/>
                <w:color w:val="auto"/>
              </w:rPr>
            </w:pP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 Options (#)</w:t>
            </w:r>
          </w:p>
        </w:tc>
        <w:tc>
          <w:tcPr>
            <w:tcW w:w="3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R. Passeri</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125,000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3/5/2029</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150,000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18.96</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2/9/2030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74,375</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10,625</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15.55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2/9/2031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62,500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37,500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3/24/2032</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121,500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202,500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318,750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131,250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7/20/2033</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350,000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(8)</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3/5/2034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85"/>
              </w:rPr>
              <w:t>(9)</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14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7/23/2034</w:t>
            </w: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Kerri-Ann Millar</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11.54</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7/23/2025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3/5/2029</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16.26</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2/4/2030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19.87</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8/20/2030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61,250</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8,750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15.55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2/9/2031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53,125</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31,875</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2/8/2032</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6,250</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3,750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3/24/2032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46,500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77,500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80,041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32,959</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(4)</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7/20/2033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31,250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218,750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3/5/2034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7,500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52,500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(10)</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6/4/2034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85"/>
              </w:rPr>
              <w:t>(9)</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14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7/23/2034</w:t>
            </w: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Anish Suri (11)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250,000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14.32</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5/13/2025</w:t>
            </w:r>
          </w:p>
        </w:tc>
        <w:tc>
          <w:tcPr>
            <w:tcW w:w="0" w:type="dxa"/>
            <w:vAlign w:val="bottom"/>
          </w:tcPr>
          <w:p>
            <w:pPr>
              <w:spacing w:after="0"/>
              <w:rPr>
                <w:sz w:val="1"/>
                <w:szCs w:val="1"/>
                <w:color w:val="auto"/>
              </w:rPr>
            </w:pPr>
          </w:p>
        </w:tc>
      </w:tr>
      <w:tr>
        <w:trPr>
          <w:trHeight w:val="196"/>
        </w:trPr>
        <w:tc>
          <w:tcPr>
            <w:tcW w:w="32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Former President and Chief Scientific</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8.26</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8/13/2025</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11.54</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7/22/2025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105,000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3/5/2029</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400,000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7.53</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10/2/2029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16.26</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2/4/2030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65,625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9,375</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15.55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2/9/2031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51,250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30,750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2/8/2032</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13,333</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8,000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3/24/2032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47,062</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78,438</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87,921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36,204</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(4)</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7/20/2033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37,500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262,500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3/5/2034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18,750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131,250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(10)</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6/4/2034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85"/>
              </w:rPr>
              <w:t>(9)</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14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7/23/2034</w:t>
            </w: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Matteo Levisetti</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65,625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9,375</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(6)</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13.14</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2/21/2031</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26,875</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16,125</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2/8/2032</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6,250</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3,750</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5.01</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3/24/2032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66,250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68,750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3.36</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1/16/2033</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58,437</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24,063</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(4)</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7/20/2033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32,500</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227,500</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3/5/2034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15,625</w:t>
            </w:r>
          </w:p>
        </w:tc>
        <w:tc>
          <w:tcPr>
            <w:tcW w:w="14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109,375</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(10)</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6/4/2034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85"/>
              </w:rPr>
              <w:t>(9)</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148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7/23/2034</w:t>
            </w:r>
          </w:p>
        </w:tc>
        <w:tc>
          <w:tcPr>
            <w:tcW w:w="0" w:type="dxa"/>
            <w:vAlign w:val="bottom"/>
          </w:tcPr>
          <w:p>
            <w:pPr>
              <w:spacing w:after="0"/>
              <w:rPr>
                <w:sz w:val="1"/>
                <w:szCs w:val="1"/>
                <w:color w:val="auto"/>
              </w:rPr>
            </w:pPr>
          </w:p>
        </w:tc>
      </w:tr>
      <w:tr>
        <w:trPr>
          <w:trHeight w:val="64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0" w:right="7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February 10, 2021, and the shares underlying the option are scheduled to vest in eight equal semi-annual installments from August 10, 2021.</w:t>
      </w:r>
    </w:p>
    <w:p>
      <w:pPr>
        <w:spacing w:after="0" w:line="53"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25, 2022, and the shares underlying the option are scheduled to vest in eight equal semi-annual installments from September 25, 2022.</w:t>
      </w:r>
    </w:p>
    <w:p>
      <w:pPr>
        <w:spacing w:after="0" w:line="53" w:lineRule="exact"/>
        <w:rPr>
          <w:rFonts w:ascii="Times New Roman" w:cs="Times New Roman" w:eastAsia="Times New Roman" w:hAnsi="Times New Roman"/>
          <w:sz w:val="18"/>
          <w:szCs w:val="18"/>
          <w:color w:val="auto"/>
        </w:rPr>
      </w:pPr>
    </w:p>
    <w:p>
      <w:pPr>
        <w:ind w:left="960" w:right="7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February 16, 2023, and the shares underlying the option are scheduled to vest in eight equal semi-annual installments from August 16, 2023.</w:t>
      </w:r>
    </w:p>
    <w:p>
      <w:pPr>
        <w:spacing w:after="0" w:line="53" w:lineRule="exact"/>
        <w:rPr>
          <w:rFonts w:ascii="Times New Roman" w:cs="Times New Roman" w:eastAsia="Times New Roman" w:hAnsi="Times New Roman"/>
          <w:sz w:val="18"/>
          <w:szCs w:val="18"/>
          <w:color w:val="auto"/>
        </w:rPr>
      </w:pPr>
    </w:p>
    <w:p>
      <w:pPr>
        <w:ind w:left="960" w:right="18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July 21, 2023, and the shares underlying the option are scheduled to vest in eight equal semi-annual installments from January 21, 2024.</w:t>
      </w:r>
    </w:p>
    <w:p>
      <w:pPr>
        <w:spacing w:after="0" w:line="53" w:lineRule="exact"/>
        <w:rPr>
          <w:rFonts w:ascii="Times New Roman" w:cs="Times New Roman" w:eastAsia="Times New Roman" w:hAnsi="Times New Roman"/>
          <w:sz w:val="18"/>
          <w:szCs w:val="18"/>
          <w:color w:val="auto"/>
        </w:rPr>
      </w:pPr>
    </w:p>
    <w:p>
      <w:pPr>
        <w:ind w:left="960" w:right="84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February 9, 2022, and the shares underlying the option are scheduled to vest in eight equal semi-annual installments from August 9, 2022.</w:t>
      </w:r>
    </w:p>
    <w:p>
      <w:pPr>
        <w:spacing w:after="0" w:line="53" w:lineRule="exact"/>
        <w:rPr>
          <w:rFonts w:ascii="Times New Roman" w:cs="Times New Roman" w:eastAsia="Times New Roman" w:hAnsi="Times New Roman"/>
          <w:sz w:val="18"/>
          <w:szCs w:val="18"/>
          <w:color w:val="auto"/>
        </w:rPr>
      </w:pPr>
    </w:p>
    <w:p>
      <w:pPr>
        <w:ind w:left="960" w:right="7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February 22, 2021, and the shares underlying the option are scheduled to vest in eight equal semi-annual installments from August 22, 2021.</w:t>
      </w:r>
    </w:p>
    <w:p>
      <w:pPr>
        <w:spacing w:after="0" w:line="53" w:lineRule="exact"/>
        <w:rPr>
          <w:rFonts w:ascii="Times New Roman" w:cs="Times New Roman" w:eastAsia="Times New Roman" w:hAnsi="Times New Roman"/>
          <w:sz w:val="18"/>
          <w:szCs w:val="18"/>
          <w:color w:val="auto"/>
        </w:rPr>
      </w:pPr>
    </w:p>
    <w:p>
      <w:pPr>
        <w:ind w:left="960" w:right="84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January 17, 2023, and the shares underlying the option are scheduled to vest in eight equal semi-annual installments from July 17, 2023.</w:t>
      </w:r>
    </w:p>
    <w:p>
      <w:pPr>
        <w:spacing w:after="0" w:line="53" w:lineRule="exact"/>
        <w:rPr>
          <w:rFonts w:ascii="Times New Roman" w:cs="Times New Roman" w:eastAsia="Times New Roman" w:hAnsi="Times New Roman"/>
          <w:sz w:val="18"/>
          <w:szCs w:val="18"/>
          <w:color w:val="auto"/>
        </w:rPr>
      </w:pPr>
    </w:p>
    <w:p>
      <w:pPr>
        <w:ind w:left="960" w:right="10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6, 2024, and the shares underlying the option are scheduled to vest in eight equal semi-annual installments from September 6, 2024.</w:t>
      </w:r>
    </w:p>
    <w:p>
      <w:pPr>
        <w:spacing w:after="0" w:line="53" w:lineRule="exact"/>
        <w:rPr>
          <w:rFonts w:ascii="Times New Roman" w:cs="Times New Roman" w:eastAsia="Times New Roman" w:hAnsi="Times New Roman"/>
          <w:sz w:val="18"/>
          <w:szCs w:val="18"/>
          <w:color w:val="auto"/>
        </w:rPr>
      </w:pPr>
    </w:p>
    <w:p>
      <w:pPr>
        <w:ind w:left="960" w:right="3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July 24, 2024, and the shares underlying the option are scheduled to vest upon the satisfaction of performance metrics.</w:t>
      </w:r>
    </w:p>
    <w:p>
      <w:pPr>
        <w:spacing w:after="0" w:line="53" w:lineRule="exact"/>
        <w:rPr>
          <w:rFonts w:ascii="Times New Roman" w:cs="Times New Roman" w:eastAsia="Times New Roman" w:hAnsi="Times New Roman"/>
          <w:sz w:val="18"/>
          <w:szCs w:val="18"/>
          <w:color w:val="auto"/>
        </w:rPr>
      </w:pPr>
    </w:p>
    <w:p>
      <w:pPr>
        <w:ind w:left="960" w:right="24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June 5, 2024, and the shares underlying the option are scheduled to vest in eight equal semi-annual installments from December 5, 2024.</w:t>
      </w:r>
    </w:p>
    <w:p>
      <w:pPr>
        <w:spacing w:after="0" w:line="53" w:lineRule="exact"/>
        <w:rPr>
          <w:rFonts w:ascii="Times New Roman" w:cs="Times New Roman" w:eastAsia="Times New Roman" w:hAnsi="Times New Roman"/>
          <w:sz w:val="18"/>
          <w:szCs w:val="18"/>
          <w:color w:val="auto"/>
        </w:rPr>
      </w:pPr>
    </w:p>
    <w:p>
      <w:pPr>
        <w:ind w:left="960" w:right="7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Suri resigned from his role as President and Chief Scientific Officer in November 2024, at which time he began to provide other consulting and advisory services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employment arrangements with our named executive officers.</w:t>
      </w:r>
    </w:p>
    <w:p>
      <w:pPr>
        <w:spacing w:after="0" w:line="22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Daniel R. Passeri</w:t>
      </w:r>
      <w:r>
        <w:rPr>
          <w:rFonts w:ascii="Times New Roman" w:cs="Times New Roman" w:eastAsia="Times New Roman" w:hAnsi="Times New Roman"/>
          <w:sz w:val="18"/>
          <w:szCs w:val="18"/>
          <w:color w:val="auto"/>
        </w:rPr>
        <w:t>. We entered into an employment agreement with Mr. Passeri effective August 29, 2016, which was subsequently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3, 2019, February 10, 2020, and March 4, 2021, or, as so amended and restated, the Passeri Employment Agreement. The term of the Passeri Employment Agreement continues until and unless terminated pursuant to its terms.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Mr. Passeri’s current annual base salary is $622,200, and he is eligible for an annual incentive bonus of up to 50% of his base salary based upon achievement of performance-based objectives established by our board of directors or our compensation committee. In July 2024, Mr. Passeri voluntarily offered and agreed to reduce his 2024 annual base salary by 50%. He has been paid an annual base salary of $311,100 from July 2024 through the date of this report.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Mr. Passeri’s employment is terminated due to his death or disability, Mr. Passeri will be entitled to receive (i) any unpaid base salary through the date of termination, (ii) any annual bonus earned but unpaid prior to the date of termination, (iii) reimbursement of any unreimbursed business expenses incurred through the date of termination, (iv) any accrued but unused vacation time in accordance with Cue policy, which shall be prorated for any year in which Mr. Passeri’s employment is terminated, (v) all other payments, benefits or fringe benefits to which Mr. Passeri is entitled under the terms of any applicable compensation arrangement or benefit, equity or fringe benefit plan or program or grant, and (vi) an annual bonus for the year in which such termination occurs, determined and payable as though no such termination had occurred. If Mr. Passeri’s employment is terminated without Cause or he resigns for Good Reason (as such terms are defined in the Passeri Employment Agreement), he will be entitled to receive each of the benefits described in the foregoing clauses (i)-(v) and, (a) subject to the terms and provisions of the Passeri Employment Agreement, a lump sum cash payment in an amount equal to the sum of (1) the target annual bonus for the year of termination, prorated based on the number of days that Mr. Passeri is employed in such year through the date of termination plus (2) 12 months of base salary, (b) subject to the terms and provisions of the Passeri Employment Agreement, if Mr. Passeri elects COBRA coverage for health and/or dental insurance, monthly premium payments for such coverage until the earliest of: (1) 18 months from the termination date; (2) the date he obtains new employment that offers health and/or dental coverage that is reasonably comparable to that offered by Cue; or (3) the date COBRA continuation coverage would otherwise terminate; and (c) the acceleration of outstanding equity awards by a period of twelve (12) months; provided, for</w:t>
      </w:r>
    </w:p>
    <w:p>
      <w:pPr>
        <w:sectPr>
          <w:pgSz w:w="11900" w:h="16838" w:orient="portrait"/>
          <w:cols w:equalWidth="0" w:num="1">
            <w:col w:w="11240"/>
          </w:cols>
          <w:pgMar w:left="320" w:top="117" w:right="33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purposes of that equity awards with performance-based vesting conditions, or Performance Awards, Mr. Passeri will be treated as having remained in service for an additional 12 months following actual termination/resignation, provided that Performance Awards will not become vested or earned solely as a result of such treatment, and the vesting and earning of all Performance Awards will remain subject to the attainment of all applicable performance goals, and such awards, if and to the extent they become earned and vested, will be payable at the same time as under the applicable award agreement. If Mr. Passeri’s employment is terminated for Cause or he resigns without Good Reason, he will be entitled to receive (i) any unpaid base salary through the date of termination, (ii) reimbursement of any unreimbursed business expenses incurred through the date of termination, (iii) any accrued but unused vacation time in accordance with Cue policy, which shall be prorated for any year in which Mr. Passeri’s employment is terminated, (iv) all other payments, benefits or fringe benefits to which Mr. Passeri is entitled under the terms of any applicable compensation arrangement or benefit, equity or fringe benefit plan or program or grant.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Passeri Employment Agreement, if Mr. Passeri’s employment is terminated by Cue other than for Cause or his death or disability or by Mr. Passeri for Good Reason 90 days prior to or upon or within 24 months following a Change of Control (as defined in our 2016 Omnibus Incentive Plan, or the Plan), (i) 100% of his equity awards other than Performance Awards will become fully vested as of the date of such termination/resignation and remain exercisable (if exercisable) until the earlier of one year following such termination/resignation or the expiration of such equity awards pursuant to the terms of the applicable award agreements and (ii) the service-based vesting conditions of any Performance Awards will be deemed fully satisfied and such performance goals applicable to the Performance Awards will be deemed to be achieved at the greater of target or actual performance as of the Change of Control, and such Performance Awards will remain exercisable (if exercisable) until the earlier of one year from such termination/resignation or the expiration of the Performance Awards pursuant to the terms of the applicable award agreements.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Passeri Employment Agreement, Mr. Passeri is subject to confidentiality, noncompetition and nonsolicitation provisions that survive the term of his employment.</w:t>
      </w:r>
    </w:p>
    <w:p>
      <w:pPr>
        <w:spacing w:after="0" w:line="15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Kerri-Ann Millar</w:t>
      </w:r>
      <w:r>
        <w:rPr>
          <w:rFonts w:ascii="Times New Roman" w:cs="Times New Roman" w:eastAsia="Times New Roman" w:hAnsi="Times New Roman"/>
          <w:sz w:val="18"/>
          <w:szCs w:val="18"/>
          <w:color w:val="auto"/>
        </w:rPr>
        <w:t>. We entered into an employment agreement with Ms. Millar effective August 21, 2020 in connection with her appointment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The term of the employment agreement continues on a year-to-year basis unless terminated sooner pursuant to the terms of the employment agreement.</w:t>
      </w:r>
    </w:p>
    <w:p>
      <w:pPr>
        <w:spacing w:after="0" w:line="1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Ms. Millar’s current annual base salary is $474,575, and she is eligible for an annual incentive bonus of up to 40% of her base salary based upon achievement of performance-based objectives established by our board of directors or our compensation committee.</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Ms. Millar’s employment is terminated due to her death or disability, Ms. Millar will be entitled to receive (i) any unpaid salary through the date of termination, (ii) any annual bonus earned but unpaid prior to the date of termination, (iii) reimbursement of any business expenses incurred through the date of termination, (iv) any accrued but unused vacation time, (v) all other payments, benefits or fringe benefits to which Ms. Millar is entitled under the terms of any applicable compensation arrangement or benefit plan, (vi) an annual bonus for the year in which such termination occurs, determined and payable as though no such termination had occurred. If Ms. Millar’s employment is terminated without Cause or she resigns for Good Reason, she will be entitled to receive each of the benefits described in the foregoing clauses (i)-(v) and, subject to the terms and provisions of the employment agreement, (a) a lump sum cash payment in an amount equal to (1) the annual bonus, prorated based on the number of days that Ms. Millar is employed in such year through the date of termination plus (2) nine (9) months of base salary; and (b) if Ms. Millar elects COBRA coverage for health and/or dental insurance, monthly premium payments for such coverage until the earliest of: (1) 9 months from the termination date; (2) the date she obtains new employment that offers health and/or dental coverage that is reasonably comparable to that offered by Cue; or (3) the date COBRA continuation coverage would otherwise terminate. If Ms. Millar’s employment is terminated for Cause or she resigns without Good Reason, she will be entitled to receive (i) any unpaid salary through the date of termination, (ii) reimbursement of any unreimbursed business expenses incurred through the date of termination, (iii) any accrued but unused vacation time, and (iv) all other payments, benefits or fringe benefits to which Ms. Millar is entitled under the terms of any applicable compensation arrangement or benefit plan. Any severance to which Ms. Millar may be entitled pursuant to her employment agreement is subject to her timely execution and non-revocation of a release agreement with Cue.</w:t>
      </w:r>
    </w:p>
    <w:p>
      <w:pPr>
        <w:spacing w:after="0" w:line="19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her employment agreement, Ms. Millar is subject to confidentiality, noncompetition and nonsolicitation provisions that survive the term of her employment.</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Anish Suri</w:t>
      </w:r>
      <w:r>
        <w:rPr>
          <w:rFonts w:ascii="Times New Roman" w:cs="Times New Roman" w:eastAsia="Times New Roman" w:hAnsi="Times New Roman"/>
          <w:sz w:val="18"/>
          <w:szCs w:val="18"/>
          <w:color w:val="auto"/>
        </w:rPr>
        <w:t>. We entered into an employment agreement with Dr. Suri effective April 10, 2018, which was subsequently amended and restated on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2019, or, as so amended and restated, the Suri Employment Agreement. The term of the Suri Employment Agreement continued until Dr. Suri resigned from his role as President and Chief Scientific Officer, effective as of November 25, 2024. On November 14, 2024, we entered into a consulting agreement with Dr. Suri, or the Suri Consulting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Agreement, pursuant to which Dr. Suri agreed to assist with the transition of his duties and provide other consulting and advisory services as specified in the Suri Consulting Agreement. Under the Suri Consulting Agreement, Dr. Suri is subject to confidentiality, noncompetition and nonsolicitation provisions that survive the term of the agreement.</w:t>
      </w:r>
    </w:p>
    <w:p>
      <w:pPr>
        <w:spacing w:after="0" w:line="17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Matteo Levisetti. </w:t>
      </w:r>
      <w:r>
        <w:rPr>
          <w:rFonts w:ascii="Times New Roman" w:cs="Times New Roman" w:eastAsia="Times New Roman" w:hAnsi="Times New Roman"/>
          <w:sz w:val="18"/>
          <w:szCs w:val="18"/>
          <w:color w:val="auto"/>
        </w:rPr>
        <w:t>We entered into an employment agreement with Dr. Levisetti effective January 25, 2021 in connection with his appointment as Sr.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Clinical Development, which was subsequently amended and restated on January 17, 2023, or, as so amended and restated, the Levisetti Employment Agreement, when he was appointed to the position of Chief Medical Officer. The term of the Levisetti Employment Agreement continues on a year-to-year basis unless terminated sooner pursuant to the terms of the Levisetti Employment Agreement.</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Dr. Levisetti's current annual base salary is $499,928, and he is eligible for an annual incentive bonus of up to 40% of his base salary based upon achievement of performance-based objectives established by our board of directors or our compensation committee.</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Dr. Levisetti's employment is terminated due to his death or disability, Dr. Levisetti will be entitled to receive (i) any unpaid salary through the date of termination, (ii) any annual bonus earned but unpaid prior to the date of termination, (iii) reimbursement of any business expenses incurred through the date of termination, (iv) any accrued but unused vacation time, (v) all other payments, benefits or fringe benefits to which Dr. Levisetti is entitled under the terms of any applicable compensation arrangement or benefit plan, (vi) an annual bonus for the year in which such termination occurs, determined and payable as though no such termination had occurred. If Dr. Levisetti's employment is terminated without Cause or he resigns for Good Reason (as such terms are defined in the Levisetti Employment Agreement), he will be entitled to receive each of the benefits described in the foregoing clauses (i)-(v) and, subject to the terms and provisions of the Levisetti Employment Agreement, (a) a lump sum cash payment in an amount equal to (1) the annual bonus, prorated based on the number of days that Dr. Levisetti is employed in such year through the date of termination; and (b) if Dr. Levisetti elects COBRA coverage for health and/or dental insurance, monthly premium payments for such coverage until the earliest of: (1) 9 months from the termination date; (2) the date he obtains new employment that offers health and/or dental coverage that is reasonably comparable to that offered by Cue; or (3) the date COBRA continuation coverage would otherwise terminate. If Dr. Levisetti's employment is terminated for Cause or he resigns without Good Reason, he will be entitled to receive (i) any unpaid salary through the date of termination, (ii) reimbursement of any unreimbursed business expenses incurred through the date of termination, (iii) any accrued but unused vacation time, and (iv) all other payments, benefits or fringe benefits to which Dr. Levisetti is entitled under the terms of any applicable compensation arrangement or benefit plan. Any severance to which Dr. Levisetti may be entitled pursuant to his employment agreement is subject to his timely execution and non-revocation of a release agreement with us.</w:t>
      </w:r>
    </w:p>
    <w:p>
      <w:pPr>
        <w:spacing w:after="0" w:line="1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Levisetti Employment Agreement, Dr. Levisetti is subject to confidentiality, noncompetition and nonsolicitation provisions that survive the term of his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or PEO, and our non-PEO named executive officers, or Non-PEO NEOs, and our performance for the fiscal years listed below. 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($)(1)</w:t>
            </w:r>
          </w:p>
        </w:tc>
        <w:tc>
          <w:tcPr>
            <w:tcW w:w="16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PEO ($)(2)</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($)(1)</w:t>
            </w: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($)(2)(3)</w:t>
            </w: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Return ($)(4)</w:t>
            </w:r>
          </w:p>
        </w:tc>
        <w:tc>
          <w:tcPr>
            <w:tcW w:w="1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10"/>
        </w:trPr>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1,393,921</w:t>
            </w:r>
          </w:p>
        </w:tc>
        <w:tc>
          <w:tcPr>
            <w:tcW w:w="17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294,833</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1,138,725</w:t>
            </w:r>
          </w:p>
        </w:tc>
        <w:tc>
          <w:tcPr>
            <w:tcW w:w="172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528,183</w:t>
            </w:r>
          </w:p>
        </w:tc>
        <w:tc>
          <w:tcPr>
            <w:tcW w:w="172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8"/>
                <w:szCs w:val="18"/>
                <w:color w:val="auto"/>
              </w:rPr>
              <w:t>9.64</w:t>
            </w:r>
          </w:p>
        </w:tc>
        <w:tc>
          <w:tcPr>
            <w:tcW w:w="16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7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3,015,480</w:t>
            </w:r>
          </w:p>
        </w:tc>
        <w:tc>
          <w:tcPr>
            <w:tcW w:w="1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1,356,650</w:t>
            </w:r>
          </w:p>
        </w:tc>
        <w:tc>
          <w:tcPr>
            <w:tcW w:w="17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1,202,503</w:t>
            </w:r>
          </w:p>
        </w:tc>
        <w:tc>
          <w:tcPr>
            <w:tcW w:w="17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117,009</w:t>
            </w:r>
          </w:p>
        </w:tc>
        <w:tc>
          <w:tcPr>
            <w:tcW w:w="172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8"/>
              </w:rPr>
              <w:t>23.34</w:t>
            </w:r>
          </w:p>
        </w:tc>
        <w:tc>
          <w:tcPr>
            <w:tcW w:w="1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1,373,850</w:t>
            </w:r>
          </w:p>
        </w:tc>
        <w:tc>
          <w:tcPr>
            <w:tcW w:w="17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(610,573)</w:t>
            </w:r>
          </w:p>
        </w:tc>
        <w:tc>
          <w:tcPr>
            <w:tcW w:w="17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1,112,289</w:t>
            </w:r>
          </w:p>
        </w:tc>
        <w:tc>
          <w:tcPr>
            <w:tcW w:w="172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(996,435)</w:t>
            </w:r>
          </w:p>
        </w:tc>
        <w:tc>
          <w:tcPr>
            <w:tcW w:w="172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8"/>
                <w:szCs w:val="18"/>
                <w:color w:val="auto"/>
                <w:w w:val="98"/>
              </w:rPr>
              <w:t>25.20</w:t>
            </w:r>
          </w:p>
        </w:tc>
        <w:tc>
          <w:tcPr>
            <w:tcW w:w="16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5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R. Passeri was our PEO for all years in the table. The Non-PEO NEOs were Kerri-Ann Millar and Anish Suri for 2023, and Kerri-Ann Millar, Anish Suri and Matteo Levisetti for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right="140" w:hanging="512"/>
        <w:spacing w:after="0" w:line="289" w:lineRule="auto"/>
        <w:tabs>
          <w:tab w:leader="none" w:pos="5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for Compensation Actually Paid have been calculated in accordance with Item 402(v) of Regulation S-K and do not reflect compensation actually earned, realized, or received by the Company’s named executive officers during the applicable years. These amounts reflect the Summary Compensation Table Total with certain adjustments made in accordance with Item 402(v) and as described in footnote 3 below.</w:t>
      </w:r>
    </w:p>
    <w:p>
      <w:pPr>
        <w:spacing w:after="0" w:line="49" w:lineRule="exact"/>
        <w:rPr>
          <w:rFonts w:ascii="Times New Roman" w:cs="Times New Roman" w:eastAsia="Times New Roman" w:hAnsi="Times New Roman"/>
          <w:sz w:val="17"/>
          <w:szCs w:val="17"/>
          <w:color w:val="auto"/>
        </w:rPr>
      </w:pPr>
    </w:p>
    <w:p>
      <w:pPr>
        <w:ind w:left="520" w:right="10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PEOs and the Non-PEO NEOs as set forth below. Equity values are calculated in accordance with FASB ASC Topic 718. Amounts in the Exclusion of Option Awards column are the totals from the Option Awards column set forth in the Summary Compensation Table.</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1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18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73"/>
        </w:trPr>
        <w:tc>
          <w:tcPr>
            <w:tcW w:w="22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8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PEO ($)</w:t>
            </w: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1,393,921</w:t>
            </w:r>
          </w:p>
        </w:tc>
        <w:tc>
          <w:tcPr>
            <w:tcW w:w="19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(711,195)</w:t>
            </w:r>
          </w:p>
        </w:tc>
        <w:tc>
          <w:tcPr>
            <w:tcW w:w="1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(387,893)</w:t>
            </w:r>
          </w:p>
        </w:tc>
        <w:tc>
          <w:tcPr>
            <w:tcW w:w="20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294,833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3,015,480</w:t>
            </w:r>
          </w:p>
        </w:tc>
        <w:tc>
          <w:tcPr>
            <w:tcW w:w="1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(2,407,500)</w:t>
            </w:r>
          </w:p>
        </w:tc>
        <w:tc>
          <w:tcPr>
            <w:tcW w:w="1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748,670</w:t>
            </w:r>
          </w:p>
        </w:tc>
        <w:tc>
          <w:tcPr>
            <w:tcW w:w="2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1,356,650</w:t>
            </w: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1,373,850</w:t>
            </w:r>
          </w:p>
        </w:tc>
        <w:tc>
          <w:tcPr>
            <w:tcW w:w="19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(388,130)</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(1,596,293)</w:t>
            </w:r>
          </w:p>
        </w:tc>
        <w:tc>
          <w:tcPr>
            <w:tcW w:w="20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(610,573)</w:t>
            </w:r>
          </w:p>
        </w:tc>
        <w:tc>
          <w:tcPr>
            <w:tcW w:w="0" w:type="dxa"/>
            <w:vAlign w:val="bottom"/>
          </w:tcPr>
          <w:p>
            <w:pPr>
              <w:spacing w:after="0"/>
              <w:rPr>
                <w:sz w:val="1"/>
                <w:szCs w:val="1"/>
                <w:color w:val="auto"/>
              </w:rPr>
            </w:pPr>
          </w:p>
        </w:tc>
      </w:tr>
      <w:tr>
        <w:trPr>
          <w:trHeight w:val="340"/>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8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Exclusion</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Option Awards</w:t>
            </w: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73"/>
        </w:trPr>
        <w:tc>
          <w:tcPr>
            <w:tcW w:w="22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18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1,138,725</w:t>
            </w:r>
          </w:p>
        </w:tc>
        <w:tc>
          <w:tcPr>
            <w:tcW w:w="19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(589,023)</w:t>
            </w:r>
          </w:p>
        </w:tc>
        <w:tc>
          <w:tcPr>
            <w:tcW w:w="1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(21,519)</w:t>
            </w:r>
          </w:p>
        </w:tc>
        <w:tc>
          <w:tcPr>
            <w:tcW w:w="20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528,183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1,202,503</w:t>
            </w:r>
          </w:p>
        </w:tc>
        <w:tc>
          <w:tcPr>
            <w:tcW w:w="1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(736,514)</w:t>
            </w:r>
          </w:p>
        </w:tc>
        <w:tc>
          <w:tcPr>
            <w:tcW w:w="1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(348,981)</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117,009</w:t>
            </w: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1,112,289</w:t>
            </w:r>
          </w:p>
        </w:tc>
        <w:tc>
          <w:tcPr>
            <w:tcW w:w="19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(511,782)</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(1,596,942)</w:t>
            </w:r>
          </w:p>
        </w:tc>
        <w:tc>
          <w:tcPr>
            <w:tcW w:w="20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(996,435)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Day</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Equity</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any Prior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for PEO</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p>
        </w:tc>
        <w:tc>
          <w:tcPr>
            <w:tcW w:w="0" w:type="dxa"/>
            <w:vAlign w:val="bottom"/>
          </w:tcPr>
          <w:p>
            <w:pPr>
              <w:spacing w:after="0"/>
              <w:rPr>
                <w:sz w:val="1"/>
                <w:szCs w:val="1"/>
                <w:color w:val="auto"/>
              </w:rPr>
            </w:pPr>
          </w:p>
        </w:tc>
      </w:tr>
      <w:tr>
        <w:trPr>
          <w:trHeight w:val="210"/>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524,484</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(543,213)</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13,195</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(382,359)</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(387,893)</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1,190,794</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(245,681)</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247,336</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(443,779)</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748,670</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172,343</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(825,671)</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18,280</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(961,245)</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(1,596,293)</w:t>
            </w:r>
          </w:p>
        </w:tc>
        <w:tc>
          <w:tcPr>
            <w:tcW w:w="0" w:type="dxa"/>
            <w:vAlign w:val="bottom"/>
          </w:tcPr>
          <w:p>
            <w:pPr>
              <w:spacing w:after="0"/>
              <w:rPr>
                <w:sz w:val="1"/>
                <w:szCs w:val="1"/>
                <w:color w:val="auto"/>
              </w:rPr>
            </w:pPr>
          </w:p>
        </w:tc>
      </w:tr>
      <w:tr>
        <w:trPr>
          <w:trHeight w:val="340"/>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Year-</w:t>
            </w: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Fair Value</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Last</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any Prior 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 ($)</w:t>
            </w:r>
          </w:p>
        </w:tc>
        <w:tc>
          <w:tcPr>
            <w:tcW w:w="0" w:type="dxa"/>
            <w:vAlign w:val="bottom"/>
          </w:tcPr>
          <w:p>
            <w:pPr>
              <w:spacing w:after="0"/>
              <w:rPr>
                <w:sz w:val="1"/>
                <w:szCs w:val="1"/>
                <w:color w:val="auto"/>
              </w:rPr>
            </w:pPr>
          </w:p>
        </w:tc>
      </w:tr>
      <w:tr>
        <w:trPr>
          <w:trHeight w:val="209"/>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226,194</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(157,584)</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17,572</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(107,701)</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(21,519)</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439,267</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(199,605)</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88,258</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(676,900)</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(348,980)</w:t>
            </w: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159,862</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(970,523)</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20,142</w:t>
            </w:r>
          </w:p>
        </w:tc>
        <w:tc>
          <w:tcPr>
            <w:tcW w:w="16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(806,423)</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(1,596,942)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Valuation assumptions used to calculate fair values did not materially differ from those used to calculate fair values at the time of grant as reflected in the amounts set forth in the Summary Compensation Table.</w:t>
      </w:r>
    </w:p>
    <w:p>
      <w:pPr>
        <w:spacing w:after="0" w:line="54" w:lineRule="exact"/>
        <w:rPr>
          <w:sz w:val="20"/>
          <w:szCs w:val="20"/>
          <w:color w:val="auto"/>
        </w:rPr>
      </w:pPr>
    </w:p>
    <w:p>
      <w:pPr>
        <w:ind w:left="440" w:right="560" w:hanging="432"/>
        <w:spacing w:after="0" w:line="282" w:lineRule="auto"/>
        <w:tabs>
          <w:tab w:leader="none" w:pos="3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for the period starting December 31, 2021 through the end of the listed year in our common stock. Historical stock performance is not necessarily indicative of future stock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Relationship Between PEO and Average Non-PEO NEO Compensation Actually Paid and Company Total Shareholder Return (“TSR”)</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182880</wp:posOffset>
            </wp:positionV>
            <wp:extent cx="5957570" cy="3797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5757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Average Non-PEO NEO Compensation Actually Paid and Net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Compensation Actually Paid to our Non-PEO NEOs, and our Net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131445</wp:posOffset>
            </wp:positionV>
            <wp:extent cx="5957570" cy="4243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7570"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on the Company’s equity compensation plans as of December 31, 2024. As of December 31, 2024, we had two equity compensation plans, our 2016 Omnibus Incentive Plan and our 2016 Non-Employee Equity Incentive Plan, each of which was approved by our stockholders. All outstanding awards relate to shares of our common stock. We have also made inducement awards to certain new hires, which awards were not approved by our stockholders.</w:t>
      </w:r>
    </w:p>
    <w:p>
      <w:pPr>
        <w:spacing w:after="0" w:line="3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(1)</w:t>
            </w:r>
          </w:p>
        </w:tc>
        <w:tc>
          <w:tcPr>
            <w:tcW w:w="0" w:type="dxa"/>
            <w:vAlign w:val="bottom"/>
          </w:tcPr>
          <w:p>
            <w:pPr>
              <w:spacing w:after="0"/>
              <w:rPr>
                <w:sz w:val="1"/>
                <w:szCs w:val="1"/>
                <w:color w:val="auto"/>
              </w:rPr>
            </w:pPr>
          </w:p>
        </w:tc>
      </w:tr>
      <w:tr>
        <w:trPr>
          <w:trHeight w:val="191"/>
        </w:trPr>
        <w:tc>
          <w:tcPr>
            <w:tcW w:w="3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9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10,271,724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17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365,114</w:t>
            </w:r>
          </w:p>
        </w:tc>
        <w:tc>
          <w:tcPr>
            <w:tcW w:w="0" w:type="dxa"/>
            <w:vAlign w:val="bottom"/>
          </w:tcPr>
          <w:p>
            <w:pPr>
              <w:spacing w:after="0"/>
              <w:rPr>
                <w:sz w:val="1"/>
                <w:szCs w:val="1"/>
                <w:color w:val="auto"/>
              </w:rPr>
            </w:pP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60" w:type="dxa"/>
            <w:vAlign w:val="bottom"/>
            <w:vMerge w:val="restart"/>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1"/>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 (2)</w:t>
            </w:r>
          </w:p>
        </w:tc>
        <w:tc>
          <w:tcPr>
            <w:tcW w:w="160" w:type="dxa"/>
            <w:vAlign w:val="bottom"/>
            <w:vMerge w:val="continue"/>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10,471,724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6.76</w:t>
            </w:r>
          </w:p>
        </w:tc>
        <w:tc>
          <w:tcPr>
            <w:tcW w:w="17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365,114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7" w:right="399"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hanging="512"/>
        <w:spacing w:after="0" w:line="255"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all 365,114 shares of our common stock available for issuance were under the 2016 Omnibus Incentive Plan. The 2016 Omnibus Incentive Plan provides that the number of shares reserved for issuance under the plan shall increase on each January 1 through January 1, 2027 by the lower of (i) the number of shares necessary such that the aggregate number of shares available to be issued under the plan equals 20% of the number of fully diluted outstanding shares on such date (assuming the conversion of all outstanding shares of preferred stock and other outstanding convertible securities and exercise of all outstanding options and warrants to purchase shares) or (ii) an amount determined by our board of directors. On January 1, 2025, the shares reserved for issuance under the 2016 Omnibus Incentive Plan were increased by 6,782,374 shares pursuant to this annual increase.</w:t>
      </w:r>
    </w:p>
    <w:p>
      <w:pPr>
        <w:spacing w:after="0" w:line="80" w:lineRule="exact"/>
        <w:rPr>
          <w:rFonts w:ascii="Times New Roman" w:cs="Times New Roman" w:eastAsia="Times New Roman" w:hAnsi="Times New Roman"/>
          <w:sz w:val="18"/>
          <w:szCs w:val="18"/>
          <w:color w:val="auto"/>
        </w:rPr>
      </w:pPr>
    </w:p>
    <w:p>
      <w:pPr>
        <w:jc w:val="both"/>
        <w:ind w:left="520" w:right="4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stock option award granted to an employee in accordance with Nasdaq Listing Rule 5635(c)(4), with an exercise price equal to the closing price of our common stock on the date of grant and vesting vest over two years, in four equal installments beginning six months from the date of grant.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than compensation agreements and other arrangements, which are described as required by applicable SEC rules under the heading “Executive Compensation” above, and as set forth below, since January 1, 2023, there has not been, and there is not currently proposed, any transaction or series of similar transactions to which we were or will be a party in which the amount involved exceeded or will exceed $120,000 in which any director, executive officer, holder of 5% or more of any class of our capital stock or any member of their immediate families had or will have a direct or indirect material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Underwritten Public Offering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2024, we issued and sold to investors in an underwritten public offering an aggregate of 11,564,401 shares of our common stock and, in lieu of shares of common stock, pre-funded warrants to purchase an aggregate of 12,435,599 shares of our common stock, and accompanying warrants to purchase an aggregate of up to 6,000,000 additional shares of common stock at a price of $0.50 per unit, consisting of a share of our common stock and an accompanying warrant to purchase one share of our common stock, or $0.499 per unit, consisting of a pre-funded warrant to purchase a share of our common stock and an accompanying warrant to purchase one share of our common stock. A holder of more than 5% of our voting securities participated in the offering. The following table sets forth the number of shares of our common stock and accompanying warrants to purchase shares of our common stock purchased by such 5% holder and the aggregate purchase price paid for such securities.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2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40" w:type="dxa"/>
            <w:vAlign w:val="bottom"/>
          </w:tcPr>
          <w:p>
            <w:pPr>
              <w:spacing w:after="0"/>
              <w:rPr>
                <w:sz w:val="12"/>
                <w:szCs w:val="12"/>
                <w:color w:val="auto"/>
              </w:rPr>
            </w:pPr>
          </w:p>
        </w:tc>
        <w:tc>
          <w:tcPr>
            <w:tcW w:w="12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5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Bleichroeder LP</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2,035,634</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4,214,366</w:t>
            </w: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   2,497,036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“Security Ownership of Certain Beneficial Owners and Management” section for additional information about securities held by this entity.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voting stock as of April 11, 2025 by:</w:t>
      </w:r>
    </w:p>
    <w:p>
      <w:pPr>
        <w:spacing w:after="0" w:line="117" w:lineRule="exact"/>
        <w:rPr>
          <w:sz w:val="20"/>
          <w:szCs w:val="20"/>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61,819,101 shares of our common stock outstanding as of April 11, 2025. The number of shares beneficially owned by each stockholder is determined under rules of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April 11, 2025 are considered outstanding, although these shares are not considered outstanding for purposes of computing the percentage ownership of any other person. Unless otherwise indicated, the address of all listed stockholders is Cue Biopharma, Inc. at 40 Guest Street, Boston, Massachusetts 02135. Each of the stockholders listed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Options </w:t>
            </w:r>
            <w:r>
              <w:rPr>
                <w:rFonts w:ascii="Times New Roman" w:cs="Times New Roman" w:eastAsia="Times New Roman" w:hAnsi="Times New Roman"/>
                <w:sz w:val="19"/>
                <w:szCs w:val="19"/>
                <w:b w:val="1"/>
                <w:bCs w:val="1"/>
                <w:color w:val="auto"/>
                <w:w w:val="97"/>
                <w:vertAlign w:val="superscript"/>
              </w:rPr>
              <w:t>(1)</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6"/>
              </w:rPr>
              <w:t xml:space="preserve">Warrants </w:t>
            </w:r>
            <w:r>
              <w:rPr>
                <w:rFonts w:ascii="Times New Roman" w:cs="Times New Roman" w:eastAsia="Times New Roman" w:hAnsi="Times New Roman"/>
                <w:sz w:val="19"/>
                <w:szCs w:val="19"/>
                <w:b w:val="1"/>
                <w:bCs w:val="1"/>
                <w:color w:val="auto"/>
                <w:w w:val="96"/>
                <w:vertAlign w:val="superscript"/>
              </w:rPr>
              <w:t>(1)</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R. Passeri</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164,578</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1,259,500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1,424,078</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Kerri-Ann Millar</w:t>
            </w:r>
          </w:p>
        </w:tc>
        <w:tc>
          <w:tcPr>
            <w:tcW w:w="16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14,311</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579,333</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593,644</w:t>
            </w:r>
          </w:p>
        </w:tc>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Anish Suri</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41,000</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1,276,530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1,317,530</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Matteo Levisetti</w:t>
            </w:r>
          </w:p>
        </w:tc>
        <w:tc>
          <w:tcPr>
            <w:tcW w:w="16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9,230</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366,625</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375,855</w:t>
            </w:r>
          </w:p>
        </w:tc>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Frederick Driscoll</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120,400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120,400</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Garzone</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50,800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50,800</w:t>
            </w:r>
          </w:p>
        </w:tc>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Kiener</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357</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109,858</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110,215</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Frank Morich</w:t>
            </w:r>
          </w:p>
        </w:tc>
        <w:tc>
          <w:tcPr>
            <w:tcW w:w="16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28,000</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121,600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149,600</w:t>
            </w:r>
          </w:p>
        </w:tc>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Verheyen</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8,174</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50,800</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58,974</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Pasha Sarraf</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 (12 persons)</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241,775</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7,200,967</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7,442,742</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Stockholders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Bleichroeder LP </w:t>
            </w:r>
            <w:r>
              <w:rPr>
                <w:rFonts w:ascii="Times New Roman" w:cs="Times New Roman" w:eastAsia="Times New Roman" w:hAnsi="Times New Roman"/>
                <w:sz w:val="24"/>
                <w:szCs w:val="24"/>
                <w:color w:val="auto"/>
                <w:vertAlign w:val="superscript"/>
              </w:rPr>
              <w:t>(2)</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4,997,240</w:t>
            </w:r>
          </w:p>
        </w:tc>
        <w:tc>
          <w:tcPr>
            <w:tcW w:w="1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1,309,285</w:t>
            </w:r>
          </w:p>
        </w:tc>
        <w:tc>
          <w:tcPr>
            <w:tcW w:w="16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6,306,525</w:t>
            </w:r>
          </w:p>
        </w:tc>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520" w:right="400" w:hanging="512"/>
        <w:spacing w:after="0" w:line="260"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represent shares of common stock underlying options and warrants, respectively, that are acquirable within 60 days of April 11, 2025.</w:t>
      </w:r>
    </w:p>
    <w:p>
      <w:pPr>
        <w:spacing w:after="0" w:line="181" w:lineRule="exact"/>
        <w:rPr>
          <w:rFonts w:ascii="Times New Roman" w:cs="Times New Roman" w:eastAsia="Times New Roman" w:hAnsi="Times New Roman"/>
          <w:sz w:val="18"/>
          <w:szCs w:val="18"/>
          <w:color w:val="auto"/>
        </w:rPr>
      </w:pPr>
    </w:p>
    <w:p>
      <w:pPr>
        <w:ind w:left="520" w:hanging="512"/>
        <w:spacing w:after="0" w:line="25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Bleichroeder LP, a Delaware limited partnership, holds through its affiliates, including 21 April Fund, L.P. and 21 April Fund, Ltd.: (i) 4,997,240 shares of common stock, (ii) warrants to purchase 306,278 shares of common stock, with a 4.99% limit on the exercise of such warrants, (iii) warrants to purchase 1,250,000 shares of common stock, with a 9.99% limit on the exercise of such warrants and (iv) pre-funded warrants to purchase 2,964,366 shares of common stock, with a 9.99% limit on the exercise of such warrants. Bleichroeder LP is a subsidiary of Bleichroeder Holdings LLC, a Delaware limited liability company. Bleichroeder LP is prohibited from exercising the warrants and pre-funded warrants it beneficially owns, if, as a result of any exercise of such warrants, Bleichroeder LP would beneficially own more than 4.99% or 9.99%, as applicable, of the total number of shares of common stock then issued and outstanding immediately after giving effect to any such exercise, which we refer to as the Beneficial Ownership Limitations. The shares reported under “Shares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right="200"/>
        <w:spacing w:after="0" w:line="256" w:lineRule="auto"/>
        <w:rPr>
          <w:sz w:val="20"/>
          <w:szCs w:val="20"/>
          <w:color w:val="auto"/>
        </w:rPr>
      </w:pPr>
      <w:r>
        <w:rPr>
          <w:rFonts w:ascii="Times New Roman" w:cs="Times New Roman" w:eastAsia="Times New Roman" w:hAnsi="Times New Roman"/>
          <w:sz w:val="18"/>
          <w:szCs w:val="18"/>
          <w:color w:val="auto"/>
        </w:rPr>
        <w:t>Common Stock Owned,” “Shares Underlying Warrants” and “Number of Shares Beneficially Owned” consist of (i) 4,997,240 shares of common stock and (ii) 1,309,285 shares of common stock issuable upon the exercise of warrants, and do not include 3,211,359 shares of common stock issuable upon the exercise of the warrants due to the application of the Beneficial Ownership Limitations. The address for Bleichroeder Holdings LLC and Bleichroeder LP is 1345 Avenue of the Americas, 47th Floor, New York, NY 10105. For information regarding Bleichroeder LP and Bleichroeder Holdings LLC and the shares of common stock held, we have relied on the Schedule 13G filed with the SEC on March 21, 2025, as well as information otherwise known to us.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own more than 10% of a registered class of our equity securities, to file reports of ownership and changes in ownership with the SEC. Based solely upon a review of the copies of such forms and amendments thereto, we believe that, during 2024, none of our officers, directors, and greater than 10% beneficial owners failed to file on a timely basis the reports required by Section 16(a), with the exception of the following reports:</w:t>
      </w:r>
    </w:p>
    <w:p>
      <w:pPr>
        <w:spacing w:after="0" w:line="396"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 Form 3 was filed for Daniel G. Baker on November 29, 2024 relating to his appointment as an officer on November 25, 2024;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 Form 4 was filed for Daniel G. Baker on November 29, 2024, reporting the acquisition of shares on November 25, 2024.</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RSM US LLP, or RSM, as the company’s independent registered public accounting firm for the fiscal year ending December 31, 2025 and the board of directors has directed that management submit the selection of the independent registered public accounting firm for ratification by the stockholders at the Annual Meeting. RSM has served as the company’s registered public accountant since 2018. Representatives of RSM are expected to be present online at the Annual Meeting, will have an opportunity to make a statement if they so desire, and are expected to be available to respond to appropriate questions.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Stockholder ratification of the appointment of RSM as the company’s independent registered public accounting firm is not required by Delaware law, our certificate of incorporation or our bylaws. However, the board of directors is submitting the audit committee’s selection of RSM to the stockholders for ratification as a matter of good corporate practice. If the stockholders fail to ratify the selection, the audit committee will reconsider whether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RSM was our independent registered public accounting firm for the years ended December 31, 2024 and December 31, 2023. The following table summarizes the fees of RSM billed to us for each of the last two fiscal years. All such services and fees were pre-approved by our audit committee in accordance with the “Pre-Approval Policies and Procedures” described below.</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 ($)</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4"/>
                <w:szCs w:val="14"/>
                <w:color w:val="auto"/>
              </w:rPr>
              <w:t>(1)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397,873</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391,086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397,873</w:t>
            </w:r>
          </w:p>
        </w:tc>
        <w:tc>
          <w:tcPr>
            <w:tcW w:w="13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391,086</w:t>
            </w:r>
          </w:p>
        </w:tc>
      </w:tr>
    </w:tbl>
    <w:p>
      <w:pPr>
        <w:spacing w:after="0" w:line="198" w:lineRule="exact"/>
        <w:rPr>
          <w:sz w:val="20"/>
          <w:szCs w:val="20"/>
          <w:color w:val="auto"/>
        </w:rPr>
      </w:pPr>
    </w:p>
    <w:p>
      <w:pPr>
        <w:ind w:left="5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professional services rendered for the audit of our annual financial statements, quarterly reviews, consents and assistance with and review of documents filed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 During our 2024 and 2023 fiscal years, all of the services provided by RSM were pre-approved by our audit committee.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jc w:val="both"/>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THE STOCKHOLDERS VOTE TO RATIFY THE APPOINTMENT OF RSM US LLP AS OUR INDEPENDENT REGISTERED PUBLIC ACCOUNTING FIRM FOR THE FISCAL YEAR ENDING DECEMBER 31, 2025.</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or Dodd-Frank Act, which added Section 14A to the Exchange Act. Section 14A of the Exchange Act also requires that stockholders have the opportunity to cast an advisory vote with respect to whether future advisory votes on the compensation paid to our named executive officers will be held every one, two or three years. At the 2023 annual meeting, our stockholders approved, on an advisory, non-binding basis, an annual advisory vote on the compensation of our named executive officers. In accordance with the results of this vote, our board of directors determined to implement an advisory vote on the compensation of our named executive officers every year until the next vote in 2029 on the preferred frequency of such advisory votes.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The program contains elements of cash and equity-based compensation and is designed to align the interests of our executives with those of our stockholders and paying for performance.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section of this proxy statement titled “Executive Compensation” beginning on page 24 including “Narrative to Summary Compensation Table,” describes in detail our executive compensation program and the decisions made by our compensation committee and our board of directors with respect to the fiscal year ended December 31, 2024.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short- and long-term business goals has helped drive our performance over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Securities and Exchange Commission, including the compensation tables and any related material disclosed in this proxy statement, is hereby approved.</w:t>
      </w:r>
    </w:p>
    <w:p>
      <w:pPr>
        <w:spacing w:after="0" w:line="16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THE STOCKHOLDERS VOTE FOR THE APPROVAL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APPROVAL OF CUE BIOPHARMA, INC. 2025 STOCK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Requesting Stockholder Approval</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asking stockholders to approve the Cue Biopharma, Inc. 2025 Stock Incentive Plan, or the 2025 Plan. Our board of directors believes that our success depends, in large part, on our ability to maintain a competitive position by attracting, retaining and motivating the best talent in what is a competitive labor market. Central to these objectives is our equity-based compensation program, which is consistent with our compensation philosophy and the compensatory practices of other companies in our peer group and other companies that we compete with for talent. We and our board understand that our equity-compensation needs must be balanced against the dilutive effect of such programs on our stockholders. Our board of directors believes that adopting the 2025 Plan is in the best interests of the Company and its stockholders because it will permit the Company to continue to provide equity-based awards to promote the continued success of the Company by aligning the interests of the participants with those of our stockholders.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2016 Omnibus Incentive Plan, as amended and restated, or the Current Plan, which has been our equity incentive plan since our initial public offering, will expire on March 23, 2026 and after that date, we will not be able to grant equity awards to our employees, non-employee directors and other key service providers who are critical to our success. Importantly, we are requesting that stockholders approve a lesser number of shares for issuance under the 2025 Plan than we currently have available for the grant of new awards under the 2016 Plan. Specifically, as of April 11, 2025, there were 6,336,365 shares remaining available for the grant of new awards under the Current Plan. We are only requesting that up to 6,200,000 shares become available for the grant of new awards under the 2025 Plan; provided, that the number of shares that will become available for the grant of new awards under the 2025 Plan shall in no event be greater than the number of shares available for the grant of awards under the Current Plan as of June 4, 2025, or the Annual Meeting Date. Accordingly, stockholders will not be further diluted if the 2025 Plan is approved. We determined to seek approval of the 2025 Plan (instead of seeking an extension of the term of the Current Plan) in order to update our equity incentive plan to be in line with current Delaware law and accounting rules, as well as the expectations of investors. To that end, and based on careful weighing of the above considerations, as more fully described below, on April 13, 2025, or the Board Approval Date, upon the recommendation of the compensation committee of the board, and subject to stockholder approval, the board adopted the 2025 Plan. If this proposal is approved by our stockholders, we intend to register the shares reserved for issuance under the 2025 Plan by filing a Registration Statement on Form S-8 as soon as practicable following such approval.</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our stockholders approve the 2025 Plan, we will not grant any further awards under the Current Plan after the date of such approval, but awards previously granted under the Current Plan will remain outstanding. If the stockholders do not approve the 2025 Plan, then the Current Plan will remain in effect pursuant to its existing terms until its expiration in March 2026, and we will be required to modify our compensation program and consider other alternatives as a means of properly and competitively compensating our employees, directors and other service providers, including potentially increasing the amount of cash that we use as compensation, or limiting participation in the Current Plan prior to its expiration, which may impact our ability to retain our key talent.</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intend to utilize the 2025 Plan as we have utilized the Current Plan: specifically, to grant equity awards to our employees, non-employee directors, consultants, and advisors in order to recruit, incentivize, retain and reward those who are critical to our success. Our compensation committee determined that the number of shares requested for issuance under the 2025 Plan (which will in no event be greater than the number of shares that remain available for the grant of new awards under the Current Plan, as of the Annual Meeting Date) is necessary to meet our needs for projected new-hire equity awards, projected annual equity awards to our employees and non-employee directors and employee recognition and promotion awards. Specifically, if stockholders approve the 2025 Plan, subject to adjustment in the event of stock splits and other similar events, awards may be made under the 2025 Plan for a number of shares of common stock equal to the sum of up to: (i) 6,200,000 shares of common stock, provided, that in no event shall more shares of common stock become available for the grant of new awards under the 2025 Plan than were available for the grant of new awards under the Current Plan as of the Annual Meeting Date; and (ii) such additional number of shares of common stock (up to 12,138,461 shares) as is equal to the number of shares of common stock subject to awards granted under the Current Plan and the Company’s 2016 Non-Employee Equity Incentive Plan, or the 2016 Non-Employee Plan, that are outstanding as of the Board Approval Date and which awards expire, terminate or are otherwise surrendered, cancelled, forfeited or repurchased by the Company at their original issuance price pursuant to a contractual repurchase right (subject, however, in the case of incentive stock options, to any limitations under the Internal Revenue Code of 1986, as amended, and any regulations thereunder, or the Code). The 2025 Plan does not include an evergreen provision (which the Current Plan contains) and includes several features that are consistent with protecting the interests of our stockholders and sound corporate governance practices, as described below.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relied on the inducement grant exception under Nasdaq Listing Rule 5635(c)(4) to grant nonstatutory stock options, or Inducement Awards, to a newly hired executive who was eligible under the Nasdaq rules to receive such grants. While we believe that the number of shares that will be available for grant under the 2025 Plan will be sufficient to meet our equity compensation needs, we may from time-to-time utilize the grant of Inducement Awards when appropriate to preserve the shares available under the 2025 Plan for key service providers who are not eligible to receive awards under the inducement grant exception.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includes information, as of April 11, 2025, regarding all of our outstanding equity awards under all of our equity-based compensation plans and arrangements under which shares of common stock may be issued. This includes shares subject to outstanding awards under the Current Plan, the 2016 Non-Employee Plan and the Inducement Awards and up to 6,200,000 shares that will become available for the grant of new awards under the 2025 Plan if the 2025 Plan is approved by stockholders; provided, that such number of shares that will become available for the grant of new awards under the 2025 Plan shall in no event be greater than the number of shares available for the grant of new awards under the Current Plan as of the Annual Meeting Date.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outstanding stock options (including performance-based stock options assuming maximum performance achievement)</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12,338,461</w:t>
            </w:r>
          </w:p>
        </w:tc>
      </w:tr>
      <w:tr>
        <w:trPr>
          <w:trHeight w:val="432"/>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9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 of outstanding stock options (years)</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r>
      <w:tr>
        <w:trPr>
          <w:trHeight w:val="432"/>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under the Current Plan for the grant of new awards as of the Board Approval Date</w:t>
            </w:r>
          </w:p>
        </w:tc>
        <w:tc>
          <w:tcPr>
            <w:tcW w:w="5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6,336,365</w:t>
            </w:r>
          </w:p>
        </w:tc>
      </w:tr>
      <w:tr>
        <w:trPr>
          <w:trHeight w:val="216"/>
        </w:trPr>
        <w:tc>
          <w:tcPr>
            <w:tcW w:w="9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number of shares requested for approval pursuant to the 2025 Plan</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6,200,000</w:t>
            </w:r>
          </w:p>
        </w:tc>
      </w:tr>
      <w:tr>
        <w:trPr>
          <w:trHeight w:val="414"/>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maximum total number of shares available for the grant of new awards under all equity-based compensation plans,</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assuming stockholder approval of the 2025 Plan</w:t>
            </w:r>
          </w:p>
        </w:tc>
        <w:tc>
          <w:tcPr>
            <w:tcW w:w="5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6,200,000</w:t>
            </w:r>
          </w:p>
        </w:tc>
      </w:tr>
      <w:tr>
        <w:trPr>
          <w:trHeight w:val="216"/>
        </w:trPr>
        <w:tc>
          <w:tcPr>
            <w:tcW w:w="9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61,819,101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11, 2025, there were no outstanding shares of restricted stock, stock appreciation rights, or any other stock-based based awards.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expect that the share pool under the 2025 Plan will allow us to continue to grant equity awards at our historic rates for approximately 2 years, but the actual duration of the share pool may vary based on changes in participation, our stock price and market practice.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our stock-based compensation programs have been integral to our success in the past and will be important to our ability to succeed in the future. The Current Plan will expire on March 23, 2026. If the 2025 Plan is not approved by our stockholders, we will not be able to make equity incentive awards to meet our hiring and retention needs in a highly competitive market, which could have an adverse impact on our business. Further, if the 2025 Plan is not approved, we could be forced to increase cash compensation, which will reduce the cash resources we are able to allocate to meeting our business needs and objectives. Therefore, the approval of the 2025 Plan is vital to our future success.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board believes approval of the 2025 Plan is in the best interests of the Company and its stockholders and recommends a vote “FOR” the approval of the 2025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below is a discussion of:</w:t>
      </w:r>
    </w:p>
    <w:p>
      <w:pPr>
        <w:spacing w:after="0" w:line="225" w:lineRule="exact"/>
        <w:rPr>
          <w:sz w:val="20"/>
          <w:szCs w:val="20"/>
          <w:color w:val="auto"/>
        </w:rPr>
      </w:pPr>
    </w:p>
    <w:p>
      <w:pPr>
        <w:ind w:left="960" w:hanging="51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the 2025 Plan;</w:t>
      </w:r>
    </w:p>
    <w:p>
      <w:pPr>
        <w:spacing w:after="0" w:line="2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Why Stockholders Should Approve the 2025 Plan;</w:t>
      </w:r>
    </w:p>
    <w:p>
      <w:pPr>
        <w:spacing w:after="0" w:line="9"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Overhang and Dilution; and</w:t>
      </w:r>
    </w:p>
    <w:p>
      <w:pPr>
        <w:spacing w:after="0" w:line="9"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2025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2025 Plan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2025 Plan includes several features that are consistent with protecting the interests of our stockholders and sound corporate governance practices. These features are highlighted below and are more fully described in the summary of the 2025 Plan further below in this proposal as well as in the copy of the 2025 Plan in Appendix B to this proxy statement.</w:t>
      </w:r>
    </w:p>
    <w:p>
      <w:pPr>
        <w:spacing w:after="0" w:line="174"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No Evergreen</w:t>
      </w:r>
      <w:r>
        <w:rPr>
          <w:rFonts w:ascii="Times New Roman" w:cs="Times New Roman" w:eastAsia="Times New Roman" w:hAnsi="Times New Roman"/>
          <w:sz w:val="18"/>
          <w:szCs w:val="18"/>
          <w:color w:val="auto"/>
        </w:rPr>
        <w:t>. The 2025 Plan does not include an “evergreen” or other provision that automatically increases the number of shares available for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and therefore any increase to the maximum share reserve in the 2025 Plan is subject to approval by our stockholders, allowing our stockholders to have a say in our equity compensation programs.</w:t>
      </w:r>
    </w:p>
    <w:p>
      <w:pPr>
        <w:spacing w:after="0" w:line="17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In accepting an Award under the 2025 Plan, a participant agrees to be bound by any clawback policy that the Company has in effect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adopt in the future, including Cue Biopharma, Inc.’s Dodd-Frank Compensation Recovery Policy.</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Minimum Vesting Provisions. </w:t>
      </w:r>
      <w:r>
        <w:rPr>
          <w:rFonts w:ascii="Times New Roman" w:cs="Times New Roman" w:eastAsia="Times New Roman" w:hAnsi="Times New Roman"/>
          <w:sz w:val="18"/>
          <w:szCs w:val="18"/>
          <w:color w:val="auto"/>
        </w:rPr>
        <w:t>Minimum vesting provisions of one year generally apply to all awards to participants, with the exception of awards for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of the shares of stock reserved under the 2025 Plan.</w:t>
      </w:r>
    </w:p>
    <w:p>
      <w:pPr>
        <w:spacing w:after="0" w:line="1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No Automatic Vesting of Awards on a Change in Control; Double-trigger Acceleration of Vesting upon a Change in Control</w:t>
      </w:r>
      <w:r>
        <w:rPr>
          <w:rFonts w:ascii="Times New Roman" w:cs="Times New Roman" w:eastAsia="Times New Roman" w:hAnsi="Times New Roman"/>
          <w:sz w:val="18"/>
          <w:szCs w:val="18"/>
          <w:color w:val="auto"/>
        </w:rPr>
        <w:t>. The 2025 Plan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automatic vesting of awards in connection with a change in control (except with respect to awards granted to non-employee directors). Instead, the 2025 Plan includes “double trigger” acceleration, pursuant to which awards (other than awards granted to non-employee directors), will become fully vested and nonforfeitable if the participant is terminated without cause or resigns for good reason within two years following the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Repricing of Awards</w:t>
      </w:r>
      <w:r>
        <w:rPr>
          <w:rFonts w:ascii="Times New Roman" w:cs="Times New Roman" w:eastAsia="Times New Roman" w:hAnsi="Times New Roman"/>
          <w:sz w:val="18"/>
          <w:szCs w:val="18"/>
          <w:color w:val="auto"/>
        </w:rPr>
        <w:t>. The 2025 Plan prohibits the direct or indirect repricing of stock options or SARs without stockholder approval.</w:t>
      </w:r>
    </w:p>
    <w:p>
      <w:pPr>
        <w:spacing w:after="0" w:line="225"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No Reload Stock Options or SARs</w:t>
      </w:r>
      <w:r>
        <w:rPr>
          <w:rFonts w:ascii="Times New Roman" w:cs="Times New Roman" w:eastAsia="Times New Roman" w:hAnsi="Times New Roman"/>
          <w:sz w:val="18"/>
          <w:szCs w:val="18"/>
          <w:color w:val="auto"/>
        </w:rPr>
        <w:t>. No stock options or SARs granted under the 2025 Plan may contain a provision entitling the award holder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grant of additional stock options or SARs in connection with any exercise of the original stock option or SAR.</w:t>
      </w:r>
    </w:p>
    <w:p>
      <w:pPr>
        <w:spacing w:after="0" w:line="15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No Dividend Equivalents on Stock Options or SARs</w:t>
      </w:r>
      <w:r>
        <w:rPr>
          <w:rFonts w:ascii="Times New Roman" w:cs="Times New Roman" w:eastAsia="Times New Roman" w:hAnsi="Times New Roman"/>
          <w:sz w:val="18"/>
          <w:szCs w:val="18"/>
          <w:color w:val="auto"/>
        </w:rPr>
        <w:t>. No stock options or SARs granted under the 2025 Plan may provide for the payment or accrual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Dividends and Dividend Equivalents on Restricted Stock, Restricted Stock Units and Other-Stock Based Awards Not Paid Until Award Vests</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paid with respect to restricted stock, restricted stock units, or RSUs, or other stock-based awards will be subject to the same restrictions on transfer and forfeitability as the award with respect to which they are paid.</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The maximum aggregate amount of cash earned or paid and value of awards (calculated based on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fair value for financial reporting purposes) granted to any non-employee director in any calendar year may not exceed $750,000 in the case of an incumbent director. However, such maximum aggregate amount shall not exceed $1,000,000 in any calendar year for any individual non-employee director in such non-employee director’s initial year of election or appointment. Exceptions to these limitations may only be made by our board in extraordinary circumstances provided that the non-employee director receiving any additional compensation does not participate in the decision to award such compensation.</w:t>
      </w:r>
    </w:p>
    <w:p>
      <w:pPr>
        <w:spacing w:after="0" w:line="18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Material Amendments Require Stockholder Approval</w:t>
      </w:r>
      <w:r>
        <w:rPr>
          <w:rFonts w:ascii="Times New Roman" w:cs="Times New Roman" w:eastAsia="Times New Roman" w:hAnsi="Times New Roman"/>
          <w:sz w:val="18"/>
          <w:szCs w:val="18"/>
          <w:color w:val="auto"/>
        </w:rPr>
        <w:t>. Stockholder approval is required prior to an amendment of the 2025 Plan that would (i)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 number of shares authorized (other than as provided under the 2025 Plan with respect to certain corporate events or substitute awards), (ii) expand the types of awards that may be granted, or (iii) materially expand the class of participants eligible to participate.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Why Stockholders Should Approve the 2025 Plan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Increase in Shares Available for Grant. </w:t>
      </w:r>
      <w:r>
        <w:rPr>
          <w:rFonts w:ascii="Times New Roman" w:cs="Times New Roman" w:eastAsia="Times New Roman" w:hAnsi="Times New Roman"/>
          <w:sz w:val="18"/>
          <w:szCs w:val="18"/>
          <w:color w:val="auto"/>
        </w:rPr>
        <w:t>The 2025 Plan requests that up to 6,200,000 shares become available for the grant of awards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in no event will the number of shares available for the grant of awards under the 2025 Plan be greater than the number of shares available for the grant of new awards under the Current Plan as of the Annual Meeting Date. Accordingly, stockholders are not being further diluted as a result of approving the 2025 Plan.</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Incentivizes, Retains and Motivates Talent</w:t>
      </w:r>
      <w:r>
        <w:rPr>
          <w:rFonts w:ascii="Times New Roman" w:cs="Times New Roman" w:eastAsia="Times New Roman" w:hAnsi="Times New Roman"/>
          <w:sz w:val="18"/>
          <w:szCs w:val="18"/>
          <w:color w:val="auto"/>
        </w:rPr>
        <w:t>. It is critical to our success that we incentivize, retain and motivate the best talent in what is a competitive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in our industry. Our equity-based compensation program has always been and will continue to be a key component in our ability to retain and pay market-competitive compensation to our employees.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Aligns with Our Pay-for-Performance Compensation Philosophy</w:t>
      </w:r>
      <w:r>
        <w:rPr>
          <w:rFonts w:ascii="Times New Roman" w:cs="Times New Roman" w:eastAsia="Times New Roman" w:hAnsi="Times New Roman"/>
          <w:sz w:val="18"/>
          <w:szCs w:val="18"/>
          <w:color w:val="auto"/>
        </w:rPr>
        <w:t>. We believe that equity-based compensation is inherently performance-based.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RSUs.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Aligns Employee and Director Interests with Stockholder Interests</w:t>
      </w:r>
      <w:r>
        <w:rPr>
          <w:rFonts w:ascii="Times New Roman" w:cs="Times New Roman" w:eastAsia="Times New Roman" w:hAnsi="Times New Roman"/>
          <w:sz w:val="18"/>
          <w:szCs w:val="18"/>
          <w:color w:val="auto"/>
        </w:rPr>
        <w:t>. Providing our employees and non-employee directors with compensation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directly aligns the interests of those employees and non-employee directors with the interests of our stockholders. If the 2025 Plan is approved by our stockholders, we will be able to continue granting equity-based incentives that foster this alignment between our employees and non-employee directors and our stockholders.</w:t>
      </w:r>
    </w:p>
    <w:p>
      <w:pPr>
        <w:spacing w:after="0" w:line="180" w:lineRule="exact"/>
        <w:rPr>
          <w:sz w:val="20"/>
          <w:szCs w:val="20"/>
          <w:color w:val="auto"/>
        </w:rPr>
      </w:pPr>
    </w:p>
    <w:p>
      <w:pPr>
        <w:jc w:val="both"/>
        <w:ind w:right="700"/>
        <w:spacing w:after="0" w:line="267" w:lineRule="auto"/>
        <w:rPr>
          <w:sz w:val="20"/>
          <w:szCs w:val="20"/>
          <w:color w:val="auto"/>
        </w:rPr>
      </w:pPr>
      <w:r>
        <w:rPr>
          <w:rFonts w:ascii="Times New Roman" w:cs="Times New Roman" w:eastAsia="Times New Roman" w:hAnsi="Times New Roman"/>
          <w:sz w:val="18"/>
          <w:szCs w:val="18"/>
          <w:i w:val="1"/>
          <w:iCs w:val="1"/>
          <w:color w:val="auto"/>
        </w:rPr>
        <w:t>Consistent with Stockholder Interests and Sound Corporate Governance</w:t>
      </w:r>
      <w:r>
        <w:rPr>
          <w:rFonts w:ascii="Times New Roman" w:cs="Times New Roman" w:eastAsia="Times New Roman" w:hAnsi="Times New Roman"/>
          <w:sz w:val="18"/>
          <w:szCs w:val="18"/>
          <w:color w:val="auto"/>
        </w:rPr>
        <w:t>. As described under the heading “Highlights of the 2025 Plan”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thoroughly below, the 2025 Plan was purposefully designed to include features that are consistent with the interests of our stockholders and sound corporate governance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Overhang and Burn Rate</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developing our share request for the 2025 Plan and analyzing the impact of utilizing equity as a means of compensation on our stockholders, we considered both our “overhang” and our “burn rate.”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April 11, 2025, there were 12,338,461 shares underlying all equity awards outstanding (including performance-based stock options assuming maximum performance achievement), 6,336,365 shares available under the Current Plan, and 61,819,101 shares of common stock outstanding. Accordingly, our overhang at April 11, 2025 was 30.2%. Because we are requesting that fewer shares become available for the grant of awards under the 2025 Plan than are available for the grant of awards under the Current Plan, if our overhang were calculated as of April 11, 2025 assuming that the stockholders had approved the 2025 Plan, our overhang would have been 30.0% on such date.</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2024, 2023 and 2022 calendar years, as well as an average over those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3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Basic Weighted Average</w:t>
            </w:r>
          </w:p>
        </w:tc>
        <w:tc>
          <w:tcPr>
            <w:tcW w:w="320" w:type="dxa"/>
            <w:vAlign w:val="bottom"/>
          </w:tcPr>
          <w:p>
            <w:pPr>
              <w:spacing w:after="0"/>
              <w:rPr>
                <w:sz w:val="13"/>
                <w:szCs w:val="13"/>
                <w:color w:val="auto"/>
              </w:rPr>
            </w:pPr>
          </w:p>
        </w:tc>
        <w:tc>
          <w:tcPr>
            <w:tcW w:w="21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Gross Burn Rate</w:t>
            </w: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1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3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Outstanding (#)</w:t>
            </w:r>
          </w:p>
        </w:tc>
        <w:tc>
          <w:tcPr>
            <w:tcW w:w="320" w:type="dxa"/>
            <w:vAlign w:val="bottom"/>
          </w:tcPr>
          <w:p>
            <w:pPr>
              <w:spacing w:after="0"/>
              <w:rPr>
                <w:sz w:val="15"/>
                <w:szCs w:val="15"/>
                <w:color w:val="auto"/>
              </w:rPr>
            </w:pPr>
          </w:p>
        </w:tc>
        <w:tc>
          <w:tcPr>
            <w:tcW w:w="196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4,383,300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56,328,348</w:t>
            </w:r>
          </w:p>
        </w:tc>
        <w:tc>
          <w:tcPr>
            <w:tcW w:w="22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2,591,900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45,754,794</w:t>
            </w:r>
          </w:p>
        </w:tc>
        <w:tc>
          <w:tcPr>
            <w:tcW w:w="22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828,500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35,649,134</w:t>
            </w:r>
          </w:p>
        </w:tc>
        <w:tc>
          <w:tcPr>
            <w:tcW w:w="22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Three-Year Average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2,601,233</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45,910,759</w:t>
            </w:r>
          </w:p>
        </w:tc>
        <w:tc>
          <w:tcPr>
            <w:tcW w:w="22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8"/>
        <w:spacing w:after="0" w:line="266"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more information on our equity compensation plans, please see the section titled “Equity Compensation Plan Information” contained elsewhere in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2025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following is a brief summary of the 2025 Plan, a copy of which is attached as Appendix B to this proxy statement. References to the board in this summary shall include the compensation committee or any similar committee or sub-committee or the Delegated Persons (as defined below) to the extent that our board’s powers or authority under the 2025 Plan have been delegated to such committee or Delegated Persons, in accordance with the 2025 Plan.</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purposes of this proposal and except where the context otherwise requires, the term “Company” and similar terms shall include any of the Company’s present or future parent or subsidiary corporations as defined in Sections 424(e) or (f) of the Code and any other business venture (including, without limitation, joint venture or limited liability company) in which the Company has a controlling interest, as determined by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2025 Plan provides for the grant of incentive stock options intended to qualify under Section 422 of the Code, nonstatutory stock options, SARs, restricted stock, RSUs, other stock-based awards and cash awards as described below, which we refer to collectively, as awards or Awards.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Subject to adjustment in the event of stock splits, stock dividends and other similar events, awards may be made under the 2025 Plan (any or all of which awards may be in the form of incentive stock options) for up to a number of shares of common stock equal to the sum of: (i) 6,200,000 shares of our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more shares of common stock become available for the grant of awards under the 2025 Plan than were available for the grant of new awards under the Current Plan as of the Annual Meeting Date; and (ii) such additional number of shares of common stock (up to 12,138,461) as is equal to the number of shares of common stock subject to awards granted under the Current Plan and the 2016 Non-Employee Plan that are outstanding as of the Board Approval Date and which awards expire, terminate or are otherwise surrendered, cancelled, forfeited or repurchased by the Company at their original issuance price pursuant to a contractual repurchase right (subject, however, in the case of incentive stock options to any limitations under the Code). Shares of common stock issued under the 2025 Plan may consist in whole or in part of authorized but unissued shares or treasury shares.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2025 Plan provides that the maximum aggregate amount of cash and value of awards (calculated based on grant date fair value for financial reporting purposes) granted to any individual non-employee director in any calendar year may not exceed $750,000 in the case of an incumbent director. However, such maximum aggregate amount shall not exceed $1,000,000 in any calendar year for any individual non-employee director in such non-employee director’s initial year of election or appointment. Moreover, fees paid by the Company on behalf of any non-employee director in connection with regulatory compliance and any amounts paid to a non-employee director as reimbursement of an expense will not count against this limit. Exceptions to this limitation may only be made by our board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counting the number of shares available for the grant of awards under the 2025 Plan, all shares of common stock covered by SARs shall be counted against the number of shares available for the grant of awards under the 2025 Plan. However, SARs that may be settled only in cash will not be so counted. Similarly, to the extent that an RSU award may be settled only in cash, no shares will be counted against the shares available for the grant of awards under the 2025 Plan. In addition, if we grant a SAR in tandem with a stock option for the same number of shares of our common stock and provide that only one such award may be exercised, referred to as a tandem SAR, only the shares covered by the stock option, and not the shares covered by the tandem SAR, will be so counted, and the expiration of one in connection with the other’s exercise will not restore shares to the 2025 Plan.</w:t>
      </w:r>
    </w:p>
    <w:p>
      <w:pPr>
        <w:spacing w:after="0" w:line="18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Shares covered by awards under the 2025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2025 Plan (subject, in the case of incentive stock options, to any limitations under the Code). In the case of the exercise of a SAR, the number of shares counted against the shares available for the grant of awards under the 2025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be added back to the number of shares available for the future grant of awards under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2025 Plan. Shares repurchased by us on the open market using proceeds from the exercise of an award will not increase the number of shares available for future grant of awards under the 2025 Plan.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a merger or consolidation of an entity with us or our acquisition of property or stock of an entity, our board may grant awards under the 2025 Plan in substitution for any stock options or other stock or stock-based awards granted by such entity or an affiliate thereof on such terms as our board determines appropriate in the circumstances, notwithstanding any limitation on awards contained in the 2025 Plan. No such substitute awards shall count against the overall share limit contained in the 2025 Plan, except as required by reason of Section 422 and related provisions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participant who is awarded a stock option receives the right to purchase a specified number of shares of common stock at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and subject to the 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2025 Plan, stock options may not be granted for a term in excess of ten years (and, under present law, five years in the case of incentive stock options granted to participants who hold greater than 10% of the total combined voting power of all classes of our stock or any of our subsidiaries).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2025 Plan permits participants to pay the exercise price of stock options using one or more of the following manners of payment: (i) payment by cash or by check, (ii) except as may otherwise be provided in the applicable award agreement or approved by our board, in connection with a “cashless exercise” through a broker, (iii) to the extent provided in the applicable award agreement or approved by our board, and subject to certain conditions, by delivery to us (either by actual delivery or attestation) of shares of common stock owned by the participant valued at their fair market value, (iv) to the extent provided in an applicable nonstatutory stock option award agreement or approved by our board, by delivery of a notice of “net exercise” as a result of which we will retain a number of shares of common stock otherwise issuable pursuant to the stock option equal to the aggregate exercise price for the portion of the stock option being exercised divided by the fair market value of our common stock on the date of exercise, (v) to the extent permitted by applicable law and provided for in the applicable award agreement or approved by our board, by any other lawful means, or (vi) by any combination of these forms of payment. No stock option granted under the 2025 Plan may contain a provision entitling the participant to the automatic grant of additional stock options in connection with any exercise of the original stock option. No stock options granted under the 2025 Plan may provide for the payment or accrual of dividend equivalents.</w:t>
      </w:r>
    </w:p>
    <w:p>
      <w:pPr>
        <w:spacing w:after="0" w:line="1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participant who is awarded a SAR receives, upon exercise, a number of shares of our common stock, or cash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shares of our common stock and cash) determined by reference to appreciation, from and after the date of grant, in the fair market value of a share of our common stock over the measurement price. The 2025 Plan provides that the measurement price of a SAR may not be less than 100% of the fair market value of our common stock on the date the SAR is granted (provided, however, that if our board approves the grant of a SAR effective as of a future date, the measurement price shall not be less than 100% of the fair market value on such future date) and that SARs may not be granted with a term in excess of 10 years. No SARs granted under the 2025 Plan may contain a provision entitling the participant to the automatic grant of additional SARs in connection with any exercise of the original SAR. No SARs granted under the 2025 Plan may provide for the payment or accrual of dividend equivalents.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Limitation on Repricing of Stock Options or SARs</w:t>
      </w:r>
      <w:r>
        <w:rPr>
          <w:rFonts w:ascii="Times New Roman" w:cs="Times New Roman" w:eastAsia="Times New Roman" w:hAnsi="Times New Roman"/>
          <w:sz w:val="18"/>
          <w:szCs w:val="18"/>
          <w:color w:val="auto"/>
        </w:rPr>
        <w:t>. Unless such action is approved by our stockholders or otherwise permitted under the terms of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in connection with certain changes in capitalization and reorganization events, we may not (i) amend any outstanding stock option or SAR granted under the 2025 Plan to provide an exercise price or measurement price per share that is lower than the then-current exercise price or measurement price per share of such outstanding stock option or SAR, (ii) cancel any outstanding stock option or SAR (whether or not granted under the 2025 Plan) and grant in substitution therefor new awards under the 2025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(iii) cancel in exchange for a cash payment any outstanding stock option or SAR with an exercise price or measurement price per share above the then-current fair market value of our common stock, or (iv) take any other action under the 2025 Plan that constitutes a “repricing” within the meaning of the rules of the Nasdaq Stock Market or any other exchange or marketplace on which the Company’s stock is listed or traded.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i w:val="1"/>
          <w:iCs w:val="1"/>
          <w:color w:val="auto"/>
        </w:rPr>
        <w:t>Restricted Stock Awards</w:t>
      </w:r>
      <w:r>
        <w:rPr>
          <w:rFonts w:ascii="Times New Roman" w:cs="Times New Roman" w:eastAsia="Times New Roman" w:hAnsi="Times New Roman"/>
          <w:sz w:val="17"/>
          <w:szCs w:val="17"/>
          <w:color w:val="auto"/>
        </w:rPr>
        <w:t>. A participant who is granted a restricted stock award is entitled to acquire shares of our common stock, subject to our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 participant who is granted an RSU award is entitled to receive shares of our common stock, or cash equal to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Our board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 No interest will be paid on dividend equivalents.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Under the 2025 Plan, our board may grant other awards of shares of our common stock, and other awards that are valued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by reference to, or are otherwise based on, shares of our common stock or other property, having such terms and conditions as our board may determine. We refer to these types of awards as other stock-based awards. Other stock-based awards may be available as a form of payment in settlement of other awards granted under the 2025 Plan or as payment in lieu of compensation to which a participant is otherwise entitled. Other stock-based awards may be paid in shares of our common stock or in cash, as our board may determine. The award agreement of an other stock-based award may provide the participant who receives such award with the right to receive dividend equivalents. Dividend equivalents may be settled in cash and/or shares of our common stock and will be subject to the same restrictions on transfer and forfeitability as the other stock-based award with respect to which they are awarded. No interest will be paid on dividend equivalents.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Under the 2025 Plan, the board has the right to grant cash-based awards including awards subject to performance conditions.</w:t>
      </w:r>
    </w:p>
    <w:p>
      <w:pPr>
        <w:spacing w:after="0" w:line="2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Performance Conditions</w:t>
      </w:r>
      <w:r>
        <w:rPr>
          <w:rFonts w:ascii="Times New Roman" w:cs="Times New Roman" w:eastAsia="Times New Roman" w:hAnsi="Times New Roman"/>
          <w:sz w:val="18"/>
          <w:szCs w:val="18"/>
          <w:color w:val="auto"/>
        </w:rPr>
        <w:t>. Awards under the 2025 Plan may be made subject to the achievement of performance goals. Our board may specify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 of granting, vesting, expiration and/or payout of any award subject to performance-based vesting conditions will be subject to the achievement of one or more of the following performance measures established by the board, which may be based on the relative or absolute attainment of specified levels of one or any combination of the following measures (and which may be determined pursuant to generally accepted accounting principles, or GAAP, or on a non-GAAP basis, as determined by the board):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qualitative or quantitative performance measures set forth in operating plans approved by the board from time to time; (vi)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(vii) improvement of financial rates; (viii) achievement of balance sheet or income statement objectives; (ix) total stockholder return;</w:t>
      </w:r>
    </w:p>
    <w:p>
      <w:pPr>
        <w:spacing w:after="0" w:line="13" w:lineRule="exact"/>
        <w:rPr>
          <w:sz w:val="20"/>
          <w:szCs w:val="20"/>
          <w:color w:val="auto"/>
        </w:rPr>
      </w:pPr>
    </w:p>
    <w:p>
      <w:pPr>
        <w:ind w:right="360" w:firstLine="8"/>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comparable measures of financial and operational performance; and/or (xi)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will be adjusted to exclude any one or more of: (a) extraordinary items; (b) gains or losses on the dispositions of discontinued operations; (c) the cumulative effects of changes in accounting principles; (d) the write-down of any asset; (e) fluctuation in foreign currency exchange rates; (f) charges for restructuring and rationalization programs; (g) non-cash, mark-to-market adjustments on derivative instruments; (h)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amortization of purchased intangibles; (i) the net impact of tax rate changes; (j) non-cash asset impairment charges; and (k) any other factors as the board may determine. Such performance measures: (A) may vary by participant and may be different for different awards; (B) may be particular to a participant or the department, branch, line of business, subsidiary or other unit in which the participant works and (C) may cover such period as may be specified by the board. The board will have the authority to make equitable adjustments to the performance goals in recognition of any changes in the Company’s capitalization,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may adjust the amount of cash or number of shares payable pursuant to a performance award, and our board may, at any time, waive the achievement of the applicable performance measures. Notwithstanding its designation as a performance award, no stock option or SAR will provide for the payment or accrual of dividend equivalents, any dividends declared and paid by the Company with respect to shares of restricted stock will be subject to the same dividend rules for restricted stock awards not designated as a performance award and any right to receive dividend equivalents on an award of RSUs and other stock-based awards will be subject to the same dividend equivalent rules for such awards that are not designated as a performance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of our employees, officers, and directors, as well as our consultants and advisors, are eligible to receive awards under the 2025 Plan. However, incentive stock options may only be granted to our employees, employees of our present or future parent or subsidiary corporations as defined in Sections 424(e) or (f) of the Code, and employees of any other entities the employees of which are eligible to receive incentive stock options under the Code.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April 11, 2025, approximately 47 persons were eligible to receive awards under the 2025 Plan, including 6 executive officers (who are current employees), 35 employees (excluding executive officers) and 6 non-employee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11, 2025, the last reported sale price of our common stock on the Nasdaq Capital Market was $0.7661.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such permitted transfer until such time as the permitted transferee 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stockholder with respect to any shares of common stock to be distributed with respect to an award granted under the 2025 Plan until becoming a record holder of such shares, subject to the terms of an award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Provision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accepting an award under the 2025 Plan, a participant agrees to be bound by any clawback policy that the Company has in effect or may adopt in the future, including without limitation the Cue Biopharma, Inc. Dodd-Frank Compensation Recovery Policy. A participant further agrees to promptly take any action necessary to effectuate any forfeiture or reimbursement that may be required by such clawback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granting of awards under the 2025 Plan is discretionary, and, with the exception of options we expect to make to our non-employee directors in accordance with our director compensation policy, we cannot now determine the number or type of awards to be granted in the future to any particular person or group. We are currently obligated to grant each of our non-employee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directors a stock option to purchase 48,800 shares of our common stock, upon initial election to the board and a stock option to purchase 24,400 shares of our common stock on the first trading day following December 31 of each year thereafter, under the terms of our director compensation policy. The exercise price of any such stock options will be equal to the closing price of our common stock on the Nasdaq Capital Market on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2025 Plan will be administered by our board. Our board has the authority to grant awards and to adopt, amend and repeal the administrative rules, guidelines and practices relating to the 2025 Plan that it deems advisable and to construe and interpret the provisions of the 2025 Plan and any award agreements entered into under the 2025 Plan. Our board may correct any defect, supply any omission or reconcile any inconsistency in the 2025 Plan or any award. All actions and decisions by our board with respect to the 2025 Plan and any awards made under the 2025 Plan will be made in our board’s discretion and will be final and binding on all persons having or claiming any interest in the 2025 Plan or in any award.</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terms of the 2025 Plan, our board may delegate any or all of its powers under the 2025 Plan to one or more committees or subcommittees of our board. The board has authorized the compensation committee to administer the 2025 Plan. Awards granted to non-employee directors must be granted and administered by a committee of the board, all of the members of which are independent directors as defined by Section 5605(a)(2) of the rules of the Nasdaq Stock Market.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any requirements of applicable law, the board may, by resolution, delegate to one or more persons (including officers) or bodies (we refer to such persons or bodies as the Delegated Persons) the power to grant awards (subject to any limitations under the 2025 Plan) to eligible service providers of the Company and to exercise such other powers under the 2025 Plan as the board may determine, provided that the board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to be received by the Company for which such awards may be issued, and a minimum amount of consideration for the shares issuable upon exercise thereof; and provided further that (I) no Delegated Person shall be authorized to grant awards to itself, and (II) no Delegated Person shall be authorized to grant awards to any “executive officer” (as defined by Rule 3b-7 under the Securities Exchange Act of 1934, as amended, or the Exchange Act) or to any “officer” (as defined by Rule 16a-1(f) under the Exchange Act).</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Subject to applicable limitations contained in the 2025 Plan, the board, the compensation committee, or any other committee or subcommittee or Delegated Person to whom the board has delegated authority pursuant to the 2025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2025 Plan, each award under the 2025 Plan may be made alone or in addition or in relation to any other award. The terms of each award need not be identical, and our board need not treat participants uniformly. Our board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may at any time provide that any award shall become immediately exercisable in whole or in part, free from some or all restrictions or conditions or otherwise realizable in whole or in part, as the case may be. Subject to the preceding sentence, no award under the 2025 Plan shall vest earlier than the first anniversary of its date of grant, unless such award is granted in lieu of salary, bonus or other compensation otherwise earned by or payable to the participant; provided, that, such limitation will not apply to awards granted, in the aggregate, for up to 5% of the maximum number of authorized shares under the 2025 Plan.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to (i) the number and class of securities available under the 2025 Plan, (ii) the share counting rules set forth in the 2025 Plan, (iii) the number, class, exercise, measurement or purchase price and any other per share related provisions of shares subject to each outstanding award, and (iv) any performance goals applicable to an award. In the event we effect a split of our common stock by means of a stock dividend and the exercise price of and the number of shares subject to an outstanding stock option are adjusted as of the date of the distribution of the dividend (rather than as of the record date for such dividend), then a participant who exercises a stock option between the record date and the distribution date for such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 dividend shall be entitled to receive, on the distribution date, the stock dividend with respect to the shares of common stock acquired upon such stock option exercise, notwithstanding the fact that such shares were not outstanding as of the close of business on the record date for such stock dividend.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indemnify and hold harmless each director, officer, employee or agent to whom any duty or power relating to the administration or interpretation of the 2025 Plan has been or will be delegated against any cost or expense (including attorneys’ fees) or liability (including any sum paid in settlement of a claim with our board’s approval) arising out of any act or omission to act concerning the 2025 Plan unless arising out of such person’s own fraud or bad faith.</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Except as otherwise provided under the 2025 Plan with respect to repricing outstanding stock options or SARs and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requiring stockholder approval, our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determines that the action, taking into account any related action, does not materially and adversely affect the participant’s rights under the 2025 Plan or the change is otherwise permitted under the terms of the 2025 Plan in connection with certain corporate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Events</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2025 Plan contains provisions addressing the consequences of any reorganization event. A reorganization event is defined under the 2025 Plan as (i) any merger or consolidation of us with or into another entity as a result of which all of our common stock is converted into or exchanged for the right to receive cash, securities or other property, or is cancelled, (ii) any transfer or disposition of all of our common stock for cash, securities or other property pursuant to a share exchange or other transaction or (iii) our liquidation or dissolution.</w:t>
      </w:r>
    </w:p>
    <w:p>
      <w:pPr>
        <w:spacing w:after="0" w:line="178"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i w:val="1"/>
          <w:iCs w:val="1"/>
          <w:color w:val="auto"/>
        </w:rPr>
        <w:t>Provisions Applicable to Awards Other than Restricted Stock</w:t>
      </w:r>
      <w:r>
        <w:rPr>
          <w:rFonts w:ascii="Times New Roman" w:cs="Times New Roman" w:eastAsia="Times New Roman" w:hAnsi="Times New Roman"/>
          <w:sz w:val="17"/>
          <w:szCs w:val="17"/>
          <w:color w:val="auto"/>
        </w:rPr>
        <w:t>. Under the 2025 Plan, if a reorganization event occurs, our board may take any one 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following actions as to all or any (or any portion of) outstanding awards other than restricted stock on such terms as our board determines (except to the extent specifically provided otherwise in an applicable award agreement, another agreement between a participant and us, or another Company plan):</w:t>
      </w:r>
    </w:p>
    <w:p>
      <w:pPr>
        <w:spacing w:after="0" w:line="1" w:lineRule="exact"/>
        <w:rPr>
          <w:sz w:val="20"/>
          <w:szCs w:val="20"/>
          <w:color w:val="auto"/>
        </w:rPr>
      </w:pPr>
    </w:p>
    <w:p>
      <w:pPr>
        <w:ind w:right="40" w:firstLine="8"/>
        <w:spacing w:after="0" w:line="251" w:lineRule="auto"/>
        <w:tabs>
          <w:tab w:leader="none" w:pos="2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such awards shall be assumed, or substantially equivalent awards shall be substituted, by the acquiring or succeeding corporation (or an affiliate thereof), (ii) upon written notice to a participant, provide that all unvested awards will be forfeited immediately before the reorganization event and/or that all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make or provide for a payment in such form (which may include, without limitation, cash, cash equivalents and/or securities of the acquiring or succeeding corporation (or an affiliate thereof)) as may be determined by our board to participants with respect to each award held by a participant equal in value to (I) the number of shares of our common stock subject to the vested portion of the award (after giving effect to any acceleration of vesting that occurs upon or immediately prior to such reorganization event) multiplied by (II) the excess, if any, of (A) the amount of cash and/or value, as determined by our board in its discretion, of any non-cash consideration per share of common stock to be received by holders of common stock as a result of the reorganization event, or the Acquisition Price, over (B) the exercise, measurement or purchase price of such award and any applicable tax withholdings, in exchange for the termination of such award, provided, that any escrow, holdback, earn out or similar provisions in the definitive agreement governing the reorganization event may (as determined by our board) apply to such payments to the same extent and in the same manner as such provisions apply to holders of common stock, and provided further that if the Acquisition Price does not exceed the exercise price of the award, then the award will be cancelled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w:t>
      </w:r>
    </w:p>
    <w:p>
      <w:pPr>
        <w:spacing w:after="0" w:line="19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board is not obligated to treat all awards, all awards held by a participant, or all awards of the same type, identically. Certain RSU awards that are subject to Section 409A of the Code will be settled in accordance with the terms of the applicable award agreement or as otherwise specified in the 2025 Plan. Our board, with reasonable notice to participants holding stock options or SARs, may impose a limitation on the ability of these participants to exercise their awards for the minimum number of days prior to the closing of the reorganization event as is reasonably necessary to facilitate the orderly closing of the reorganization event.</w:t>
      </w:r>
    </w:p>
    <w:p>
      <w:pPr>
        <w:spacing w:after="0" w:line="18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Provisions Applicable to Restricted Stock</w:t>
      </w:r>
      <w:r>
        <w:rPr>
          <w:rFonts w:ascii="Times New Roman" w:cs="Times New Roman" w:eastAsia="Times New Roman" w:hAnsi="Times New Roman"/>
          <w:sz w:val="18"/>
          <w:szCs w:val="18"/>
          <w:color w:val="auto"/>
        </w:rPr>
        <w:t>. Upon the occurrence of a reorganization event other than our liquidation or dissolution, our repurchase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with respect to outstanding restricted stock will inure to the benefit of our successor and will, unless our board determines otherwise, apply to the cash, securities or other property which our common stock was converted into</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or exchanged for pursuant to such reorganization event in the same manner and to the same extent as they applied to such restricted stock. However, our board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Events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2025 Plan includes provisions related to the treatment of awards upon the occurrence of a “change in control event,” which means, in summary: the acquisition by a person or a group of more than 50% of the combined voting power of our outstanding stock; a change, without approval by the board, of a majority of the board; our involvement in a merger, consolidation, reorganization, or recapitalization, other than a transaction pursuant to which more than 50% of the combined voting power of the outstanding voting securities of the surviving or resulting entity immediately following the transaction are held by stockholders who, as of immediately prior to such transaction, were holders of our voting securities; or our liquidation or dissolution or our sale of all or substantially all of our assets. The complete definition of a “change in control event,” which is included in Section 10(c)(1)(A) of the 2025 Plan, a copy of which is attached as Appendix B to this proxy statement, contains several exceptions from, and qualifications to, what is summarized above.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Effect on Awards</w:t>
      </w:r>
      <w:r>
        <w:rPr>
          <w:rFonts w:ascii="Times New Roman" w:cs="Times New Roman" w:eastAsia="Times New Roman" w:hAnsi="Times New Roman"/>
          <w:sz w:val="18"/>
          <w:szCs w:val="18"/>
          <w:color w:val="auto"/>
        </w:rPr>
        <w:t>. Notwithstanding the provisions of the subsection entitled “Reorganization Events” and unless otherwise specified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or other agreement, for awards granted to non-employee directors, effective immediately prior to a change in control event, all such outstanding awards granted will vest and be fully exercisable and non-forfeitable, and any specified performance goals with respect to outstanding awards shall be deemed to be satisfied at target.</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provisions of the subsection entitled “Reorganization Events” and unless otherwise specified in the applicable award agreement or other agreement, for awards granted to participants other than non-employee directors, either of the following provisions shall apply, depending on whether, and the extent to which, such awards are assumed, converted or replaced by the resulting entity in a change in control event: (i) to the extent awards are not assumed, converted or replaced by the resulting entity in a change in control event, then upon such change in control event, such outstanding awards that may be exercised will become fully exercisable, all restrictions with respect to such outstanding awards, other than for awards with performance-based vesting conditions, will lapse and become fully vested and non-forfeitable, and for any outstanding awards with performance-based vesting conditions, the target payout opportunities attainable under such awards will be deemed to have been fully earned as of the change in control event based upon the greater of (a) an assumed achievement of all relevant performance goals at the “target” level or (b) the actual level of achievement of all relevant performance goals against target as of the Company’s fiscal quarter end preceding the change in control event and the award will vest pro rata based on the portion of the applicable performance period completed through the date of the change in control event; and (ii) to the extent such awards are assumed, converted or replaced by the resulting entity in the change in control event, if, within two years after the date of the change in control event, the participant has a separation from service with the Company or the resulting entity either (1) by the Company other than for cause (as defined in the 2025 Plan) or (2) by the participant for “good reason” (as such term is defined in the applicable award agreement), then such outstanding awards that may be exercised shall become fully exercisable, all restrictions with respect to such outstanding awards, other than for awards with performance-based vesting conditions, will lapse and become vested and non-forfeitable, and for any outstanding awards with performance-based vesting conditions the target payout opportunities attainable under such awards will be deemed to have been fully earned as of the separation from service based upon the greater of (a) an assumed achievement of all relevant performance goals at the “target” level or (b) the actual level of achievement of all relevant performance goals against target as of the Company’s fiscal quarter end preceding the change in control event and the award will vest pro rata based on the portion of the applicable performance period completed through the date of the separation from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for Foreign Participants</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board may establish one or more sub-plans under the 2025 Plan to satisfy applicable securities, tax or other laws of various jurisdictions. The board will establish such sub-plans by adopting supplements to the 2025 Plan containing any limitations on the board’s discretion under the 2025 Plan and any additional terms and conditions not otherwise inconsistent with the 2025 Plan as the board deems necessary or desirable. All supplements adopted by the board will be deemed to be part of the 2025 Plan, but each supplement will only apply to participants within the affected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participant must satisfy all applicable federal, state, and local or other income and employment tax withholding obligations before we will deliver stock certificates or otherwise recognize ownership of common stock under an award. We may elect to satisfy the withholding obligations through additional withholding on 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on exercise, vesting or release from forfeiture of an award or at the same time as payment of the exercise or purchase price, unless we determine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the board, the total tax withholding where stock is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shares of common stock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having a fair market value equal to the maximum individual statutory rate of tax) as we shall determine to be necessary to satisfy the tax liability associated with any award. Shares used to satisfy tax withholding requirements cannot be subject to any repurchase, forfeiture, unfulfilled vesting or other similar requirements.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No award may be granted under the 2025 Plan after June 3, 2035 but awards previously granted may extend beyond that date. Our board may amend, suspend or terminate the 2025 Plan or any portion of the 2025 Plan at any time, except that (i) no amendment may be made to the plan to permit a stock option or SAR to be repriced without stockholder approval and (ii) no amendment that would require stockholder approval under the rules of the national securities exchange on which we maintain our primary listing may be made effective unless and until such amendment has been approved by our stockholders. If the national securities exchange on which we maintain our primary listing does not have rules regarding when stockholder approval of amendments to equity compensation plans is required (or if our common stock is not then listed on any national securities exchange), no amendment of the 2025 Plan materially increasing the number of shares authorized under the plan (other than as provided under the 2025 Plan with respect to certain corporate events or substitute awards), expanding the types of awards that may be granted under the plan or materially expanding the class of participants eligible to participate in the plan will be effective unless and until our stockholders approve such amendment. If at any time the approval of our stockholders is required as to any other modification or amendment under Section 422 of the Code or any successor provision with respect to incentive stock options, our board may not effect such modification or amendment without such approval.</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amendment, any amendment to the 2025 Plan adopted in accordance with the procedures described above will apply to, and be binding on, the holders of all awards outstanding under the 2025 Plan at the time the amendment is adopted, provided that our board determines that such amendment, taking into account any related action, does not materially and adversely affect the rights of participants under the 2025 Plan. No award will be made that is conditioned on stockholder approval of any amendment to the 2025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such stockholder approval.</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stockholders do not approve the 2025 Plan, the 2025 Plan will not go into effect, and we will not grant any awards under the 2025 Plan. In this event, the board will consider whether to adopt alternative arrangements based on its assessment of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2025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will not have income upon the grant of an incentive stock option. Also, except as described below, a participant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A participant will not have income upon the grant of a nonstatutory stock option. A participant will have compensation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participant will not have income upon the grant of a SAR. A participant generally will recognize compensation income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participant will not have income upon the grant of restricted stock unless an election under Section 83(b) of the Code is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will not have income upon the grant of an RSU. A participant is not permitted to make a Section 83(b) election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tax consequences associated with any other stock-based award will vary depending on the specific terms of such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Tax Consequences to the Company</w:t>
      </w:r>
      <w:r>
        <w:rPr>
          <w:rFonts w:ascii="Times New Roman" w:cs="Times New Roman" w:eastAsia="Times New Roman" w:hAnsi="Times New Roman"/>
          <w:sz w:val="18"/>
          <w:szCs w:val="18"/>
          <w:color w:val="auto"/>
        </w:rPr>
        <w:t>. There will be no tax consequences to the Company except that the Company will be entitled to a deduction when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has compensation income, subject to the limitations of Section 162(m) of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THE STOCKHOLDERS VOTE FOR THE APPROVAL OF THE 2025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STOCKHOLDER PROPOSALS FOR OUR 2026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Included in Proxy Statement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be considered for inclusion in our proxy statement and proxy card relating to our 2026 annual meeting of stockholders, stockholder proposals must be received by us no later than December [__], 2025, which is 120 days prior to the first anniversary of the mailing date of this proxy, unless the date of the 2026 annual meeting of stockholders is changed by more than 30 days from the anniversary of the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2026 annual meeting of stockholders but not included in the proxy statement by March 6, 2026, but not before February 4, 2026, which is not less than 90 days nor more than 120 days prior to the anniversary date of the immediately preceding annual meeting. However, if the date of the annual meeting is more than 30 days before or more than 70 days after such anniversary date, notice must be received no earlier than the close of business 120 calendar days prior to such annual meeting, and no later than the later of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2026 annual meeting of stockholders may exercise discretionary voting power regarding any such proposal. Stockholders are advised to review our bylaws which also specify requirements as to the form and content of a stockholder’s notice.</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satisfying the advance notice provisions in our bylaws relating to director nominations, including the earlier notice deadlines set out above, to comply with the SEC’s universal proxy rule, stockholders who intend to solicit proxies in support of director nominees other than our nominees in compliance with Rule 14a-19 under the Exchange Act must also provide notice that sets forth the information required by Rule 14a-19 no later than April 6, 2026. If the date of the 2026 annual meeting of stockholders changes by more than 30 days from the anniversary of this year’s Annual Meeting, such notice must instead be provided by the later of 60 days prior to the date of the 2026 annual meeting of stockholders or the 10th day following public announcement by us of the date of the 2026 annual meeting of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proposals must be delivered to the Company’s Secretary at 40 Guest Street, Boston, Massachusetts 02135.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2024 Annual Report of Stockholders, which consists of our Annual Report on Form 10-K for the fiscal year ended December 31, 2024, to you if you write us at Secretary, Cue Biopharma, Inc. 40 Guest Street, Boston, Massachusetts 02135 or call us at (617) 949-2680. If you would like to receive separate copies of our proxy materials and annual reports in the future, or if you are receiving multiple copies and would like to receive only one copy for your household, you should contact your bank, brokerage firm or other nominee record holder, or you may contact us at the above address and telephone number.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do not know of any business that will be presented for consideration or action by the stockholders at the Annual Meeting other than that described in this Proxy Statement. If, however, any other business is properly brought before the meeting, shares represented by proxies will be voted in accordance with the best judgment of the persons named in the proxies or their substitutes.</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We hope that you will attend the Annual Meeting. Whether or not you plan to attend, we urge you to vote your shares over the Internet or by telephone, or to complete, date, sign and return the proxy card in the postage-prepaid envelope. A prompt response will greatly facilitate arrangements for the meeting, and your cooperation will be appreciated.</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CUE BIOPHARMA, INC.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242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Corporation Law of the State of Delaware</w:t>
      </w:r>
    </w:p>
    <w:p>
      <w:pPr>
        <w:spacing w:after="0" w:line="20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Cue Biopharma,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corporation organized and existing under and by virtue of the General Corporation Law of the State of Delaware, does hereby certify:</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FIRST: That the Board of Directors of the Corporation has duly adopted resolutions in accordance with the provisions of Section 242 of the General Corporation Law of the State of Delaware authorizing, declaring advisable and approving an amendment to the Amended and Restated Certificate of Incorporation of the Corporation to (i) increase the number of authorized shares of capital stock of the Corporation and (ii) increase the number of authorized shares of Common Stock of the Corporation. Thereafter, the stockholders of the Corporation duly adopted such amendment in accordance with the provisions of Section 242 of the General Corporation Law of the State of Delaware.</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SECOND: That the amendment to the Amended and Restated Certificate of Incorporation of the Corporation set forth in this Certificate of Amendment was duly adopted in accordance with the provisions of Section 242 of the General Corporation Law of the State of Delaware by the Board of Directors and stockholders of the Corporation.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THIRD:  That, upon the effectiveness of this Certificate of Amendment, Section 3.01 of Article III of the Amended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Restated Certificate of Incorporation, as heretofore amended, is hereby amended and restated in its entirety as follows:</w:t>
      </w:r>
    </w:p>
    <w:p>
      <w:pPr>
        <w:spacing w:after="0" w:line="182" w:lineRule="exact"/>
        <w:rPr>
          <w:sz w:val="20"/>
          <w:szCs w:val="20"/>
          <w:color w:val="auto"/>
        </w:rPr>
      </w:pPr>
    </w:p>
    <w:p>
      <w:pPr>
        <w:jc w:val="both"/>
        <w:ind w:firstLine="830"/>
        <w:spacing w:after="0" w:line="244"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The total number of shares which the Corporation has authority to issue is 310,000,000 shares, consisting of: 10,000,000 shares designated as Preferred Stock, par value of $0.001 per share (“Preferred Stock”), and 300,000,000 shares designated as Common Stock, par value of $0.001 per share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this Certificate of Amendment of Amended and Restated Certificate of Incorporation has been executed by a duly authorized officer of the Corporation on this __ day of __,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CUE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596265</wp:posOffset>
            </wp:positionV>
            <wp:extent cx="2905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40"/>
        <w:spacing w:after="0"/>
        <w:tabs>
          <w:tab w:leader="none" w:pos="5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Daniel R. Passeri</w:t>
      </w:r>
    </w:p>
    <w:p>
      <w:pPr>
        <w:spacing w:after="0" w:line="14" w:lineRule="exact"/>
        <w:rPr>
          <w:sz w:val="20"/>
          <w:szCs w:val="20"/>
          <w:color w:val="auto"/>
        </w:rPr>
      </w:pPr>
    </w:p>
    <w:p>
      <w:pPr>
        <w:ind w:left="4520"/>
        <w:spacing w:after="0"/>
        <w:tabs>
          <w:tab w:leader="none" w:pos="5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CUE BIOPHARMA,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2025 STOCK INCENTIVE PLAN</w:t>
      </w:r>
    </w:p>
    <w:p>
      <w:pPr>
        <w:spacing w:after="0" w:line="206"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purpose of this 2025 Stock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of Cue Biopharma, Inc., a Delaware corporation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is to advance the interests of the Company’s stockholders by enhancing the Company’s ability to attract, retain and</w:t>
      </w:r>
    </w:p>
    <w:p>
      <w:pPr>
        <w:spacing w:after="0" w:line="231" w:lineRule="auto"/>
        <w:rPr>
          <w:sz w:val="20"/>
          <w:szCs w:val="20"/>
          <w:color w:val="auto"/>
        </w:rPr>
      </w:pPr>
      <w:r>
        <w:rPr>
          <w:rFonts w:ascii="Times New Roman" w:cs="Times New Roman" w:eastAsia="Times New Roman" w:hAnsi="Times New Roman"/>
          <w:sz w:val="22"/>
          <w:szCs w:val="22"/>
          <w:color w:val="auto"/>
        </w:rPr>
        <w:t>motivate persons who are expected to make important contributions to the Company and by providing such persons with equity</w:t>
      </w:r>
    </w:p>
    <w:p>
      <w:pPr>
        <w:spacing w:after="0" w:line="231" w:lineRule="auto"/>
        <w:rPr>
          <w:sz w:val="20"/>
          <w:szCs w:val="20"/>
          <w:color w:val="auto"/>
        </w:rPr>
      </w:pPr>
      <w:r>
        <w:rPr>
          <w:rFonts w:ascii="Times New Roman" w:cs="Times New Roman" w:eastAsia="Times New Roman" w:hAnsi="Times New Roman"/>
          <w:sz w:val="22"/>
          <w:szCs w:val="22"/>
          <w:color w:val="auto"/>
        </w:rPr>
        <w:t>ownership opportunities and performance-based incentives that are intended to better align the interests of such persons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those of the Company’s stockholders. Except where the context otherwise requires, the term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include any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present or future parent or subsidiary corporations as defined in Sections 424(e) or (f) of the Internal Revenue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1986, as amended, and any regulations thereunder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and any other business venture (including, without limitation,</w:t>
      </w:r>
    </w:p>
    <w:p>
      <w:pPr>
        <w:spacing w:after="0" w:line="231" w:lineRule="auto"/>
        <w:rPr>
          <w:sz w:val="20"/>
          <w:szCs w:val="20"/>
          <w:color w:val="auto"/>
        </w:rPr>
      </w:pPr>
      <w:r>
        <w:rPr>
          <w:rFonts w:ascii="Times New Roman" w:cs="Times New Roman" w:eastAsia="Times New Roman" w:hAnsi="Times New Roman"/>
          <w:sz w:val="22"/>
          <w:szCs w:val="22"/>
          <w:color w:val="auto"/>
        </w:rPr>
        <w:t>joint venture or limited liability company) in which the Company has a controlling interest, as determined by the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The Plan provides for the following types of awards, each of which is referred to as an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Options (as defined in Section 5), SARs (as defined in Section 6), Restricted Stock (as defined in Section 7), RSUs (as defined in Section 7) and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183"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and Delegation</w:t>
      </w:r>
    </w:p>
    <w:p>
      <w:pPr>
        <w:spacing w:after="0" w:line="206" w:lineRule="exact"/>
        <w:rPr>
          <w:rFonts w:ascii="Times New Roman" w:cs="Times New Roman" w:eastAsia="Times New Roman" w:hAnsi="Times New Roman"/>
          <w:sz w:val="22"/>
          <w:szCs w:val="22"/>
          <w:color w:val="auto"/>
        </w:rPr>
      </w:pPr>
    </w:p>
    <w:p>
      <w:pPr>
        <w:ind w:right="80" w:firstLine="656"/>
        <w:spacing w:after="0" w:line="236" w:lineRule="auto"/>
        <w:tabs>
          <w:tab w:leader="none" w:pos="91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by Board of Directors</w:t>
      </w:r>
      <w:r>
        <w:rPr>
          <w:rFonts w:ascii="Times New Roman" w:cs="Times New Roman" w:eastAsia="Times New Roman" w:hAnsi="Times New Roman"/>
          <w:sz w:val="22"/>
          <w:szCs w:val="22"/>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 w:firstLine="656"/>
        <w:spacing w:after="0" w:line="255" w:lineRule="auto"/>
        <w:tabs>
          <w:tab w:leader="none" w:pos="91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 of Board Committees</w:t>
      </w:r>
      <w:r>
        <w:rPr>
          <w:rFonts w:ascii="Times New Roman" w:cs="Times New Roman" w:eastAsia="Times New Roman" w:hAnsi="Times New Roman"/>
          <w:sz w:val="21"/>
          <w:szCs w:val="21"/>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All references in the Plan to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shall mean the Board or a Committee of the Board (or the Delegated Persons referred to in Section 3(c)) to the extent that the Board’s powers or authority under the Plan have been delegated to such Committee (or such Delegated Persons).</w:t>
      </w:r>
    </w:p>
    <w:p>
      <w:pPr>
        <w:spacing w:after="0" w:line="161" w:lineRule="exact"/>
        <w:rPr>
          <w:rFonts w:ascii="Times New Roman" w:cs="Times New Roman" w:eastAsia="Times New Roman" w:hAnsi="Times New Roman"/>
          <w:sz w:val="21"/>
          <w:szCs w:val="21"/>
          <w:color w:val="auto"/>
        </w:rPr>
      </w:pPr>
    </w:p>
    <w:p>
      <w:pPr>
        <w:ind w:firstLine="656"/>
        <w:spacing w:after="0" w:line="245" w:lineRule="auto"/>
        <w:tabs>
          <w:tab w:leader="none" w:pos="91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to Delegated Persons</w:t>
      </w:r>
      <w:r>
        <w:rPr>
          <w:rFonts w:ascii="Times New Roman" w:cs="Times New Roman" w:eastAsia="Times New Roman" w:hAnsi="Times New Roman"/>
          <w:sz w:val="21"/>
          <w:szCs w:val="21"/>
          <w:color w:val="auto"/>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w:t>
      </w:r>
      <w:r>
        <w:rPr>
          <w:rFonts w:ascii="Times New Roman" w:cs="Times New Roman" w:eastAsia="Times New Roman" w:hAnsi="Times New Roman"/>
          <w:sz w:val="21"/>
          <w:szCs w:val="21"/>
          <w:b w:val="1"/>
          <w:bCs w:val="1"/>
          <w:i w:val="1"/>
          <w:iCs w:val="1"/>
          <w:color w:val="auto"/>
        </w:rPr>
        <w:t>Delegated Persons</w:t>
      </w:r>
      <w:r>
        <w:rPr>
          <w:rFonts w:ascii="Times New Roman" w:cs="Times New Roman" w:eastAsia="Times New Roman" w:hAnsi="Times New Roman"/>
          <w:sz w:val="21"/>
          <w:szCs w:val="21"/>
          <w:color w:val="auto"/>
        </w:rPr>
        <w:t>”) the power to grant Awards (subject to any limitations under the Plan) to eligible service providers of the Company and to exercise such other powers under the Plan as the Board may determine, provided that the Board shall fix: (i) the maximum number of shares that may be issued pursuant to such resolution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or to any “officer” of the Company (as defined by Rule 16a-1(f) under the Exchange Act).</w:t>
      </w:r>
    </w:p>
    <w:p>
      <w:pPr>
        <w:spacing w:after="0" w:line="173" w:lineRule="exact"/>
        <w:rPr>
          <w:rFonts w:ascii="Times New Roman" w:cs="Times New Roman" w:eastAsia="Times New Roman" w:hAnsi="Times New Roman"/>
          <w:sz w:val="21"/>
          <w:szCs w:val="21"/>
          <w:color w:val="auto"/>
        </w:rPr>
      </w:pPr>
    </w:p>
    <w:p>
      <w:pPr>
        <w:ind w:right="220" w:firstLine="656"/>
        <w:spacing w:after="0" w:line="244" w:lineRule="auto"/>
        <w:tabs>
          <w:tab w:leader="none" w:pos="91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to Non-Employee Directors</w:t>
      </w:r>
      <w:r>
        <w:rPr>
          <w:rFonts w:ascii="Times New Roman" w:cs="Times New Roman" w:eastAsia="Times New Roman" w:hAnsi="Times New Roman"/>
          <w:sz w:val="22"/>
          <w:szCs w:val="22"/>
          <w:color w:val="auto"/>
        </w:rPr>
        <w:t>. Awards to non-employee directors will be granted and administered by a Committee, all of the members of which are independent directors as defined by Section 5605(a)(2) of the Nasdaq Marketplace Rules.</w:t>
      </w:r>
    </w:p>
    <w:p>
      <w:pPr>
        <w:spacing w:after="0" w:line="17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Available for Awards</w:t>
      </w:r>
    </w:p>
    <w:p>
      <w:pPr>
        <w:spacing w:after="0" w:line="206"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 Share Counting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20" w:firstLine="1304"/>
        <w:spacing w:after="0" w:line="261" w:lineRule="auto"/>
        <w:tabs>
          <w:tab w:leader="none" w:pos="1835"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Number of Shares</w:t>
      </w:r>
      <w:r>
        <w:rPr>
          <w:rFonts w:ascii="Times New Roman" w:cs="Times New Roman" w:eastAsia="Times New Roman" w:hAnsi="Times New Roman"/>
          <w:sz w:val="21"/>
          <w:szCs w:val="21"/>
          <w:color w:val="auto"/>
        </w:rPr>
        <w:t>. Subject to adjustment under Section 10, Awards may be made under the Plan (any or all of which Awards may be in the form of Incentive Stock Options, as defined in Section 5(b)) for up to a number of shares of common stock, $0.001 par value per share, of the Company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as is equal to the sum of:</w:t>
      </w:r>
    </w:p>
    <w:p>
      <w:pPr>
        <w:spacing w:after="0" w:line="157" w:lineRule="exact"/>
        <w:rPr>
          <w:sz w:val="20"/>
          <w:szCs w:val="20"/>
          <w:color w:val="auto"/>
        </w:rPr>
      </w:pPr>
    </w:p>
    <w:p>
      <w:pPr>
        <w:ind w:right="260" w:firstLine="1944"/>
        <w:spacing w:after="0" w:line="239" w:lineRule="auto"/>
        <w:rPr>
          <w:sz w:val="20"/>
          <w:szCs w:val="20"/>
          <w:color w:val="auto"/>
        </w:rPr>
      </w:pPr>
      <w:r>
        <w:rPr>
          <w:rFonts w:ascii="Times New Roman" w:cs="Times New Roman" w:eastAsia="Times New Roman" w:hAnsi="Times New Roman"/>
          <w:sz w:val="22"/>
          <w:szCs w:val="22"/>
          <w:color w:val="auto"/>
        </w:rPr>
        <w:t>(A)6,200,000 shares of Common Stock, provided, that in no event shall more shares of Common Stock become available for the grant of Awards under the Plan than were available for the grant of new awards under the Company’s 2016 Omnibus Incentive Plan (the “2016 Omnibus Plan”) as of the date the stockholders approve the Plan at the 2025 Annual Meeting of Stockholders; and</w:t>
      </w:r>
    </w:p>
    <w:p>
      <w:pPr>
        <w:spacing w:after="0" w:line="180" w:lineRule="exact"/>
        <w:rPr>
          <w:sz w:val="20"/>
          <w:szCs w:val="20"/>
          <w:color w:val="auto"/>
        </w:rPr>
      </w:pPr>
    </w:p>
    <w:p>
      <w:pPr>
        <w:ind w:right="100" w:firstLine="1944"/>
        <w:spacing w:after="0" w:line="236" w:lineRule="auto"/>
        <w:rPr>
          <w:sz w:val="20"/>
          <w:szCs w:val="20"/>
          <w:color w:val="auto"/>
        </w:rPr>
      </w:pPr>
      <w:r>
        <w:rPr>
          <w:rFonts w:ascii="Times New Roman" w:cs="Times New Roman" w:eastAsia="Times New Roman" w:hAnsi="Times New Roman"/>
          <w:sz w:val="22"/>
          <w:szCs w:val="22"/>
          <w:color w:val="auto"/>
        </w:rPr>
        <w:t>(B)such additional number of shares of Common Stock (up to 12,138,461 shares) as is equal to the sum of the number of shares of Common Stock subject to awards granted under the 2016 Omnibus Plan and the Company’s 2016 Non-Employee Equity Incentive Plan that are outstanding as of the date that the Board approved the Plan and which awards expire, terminate or are otherwise surrendered, cancelled, forfeited or repurchased by the Company at their original issuance price pursuant to a contractual repurchase right (subject, however, in the case of Incentive Stock Options to any limitations under the Code).</w:t>
      </w:r>
    </w:p>
    <w:p>
      <w:pPr>
        <w:spacing w:after="0" w:line="181"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Shares of Common Stock issued under the Plan may consist in whole or in part of authorized but unissued shares or treasury shares.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1304"/>
        <w:spacing w:after="0" w:line="258" w:lineRule="auto"/>
        <w:tabs>
          <w:tab w:leader="none" w:pos="183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Counting</w:t>
      </w:r>
      <w:r>
        <w:rPr>
          <w:rFonts w:ascii="Times New Roman" w:cs="Times New Roman" w:eastAsia="Times New Roman" w:hAnsi="Times New Roman"/>
          <w:sz w:val="22"/>
          <w:szCs w:val="22"/>
          <w:color w:val="auto"/>
        </w:rPr>
        <w:t>. For purposes of counting the number of shares available for the grant of Awards under the Plan under this Section 4(a):</w:t>
      </w:r>
    </w:p>
    <w:p>
      <w:pPr>
        <w:spacing w:after="0" w:line="158" w:lineRule="exact"/>
        <w:rPr>
          <w:sz w:val="20"/>
          <w:szCs w:val="20"/>
          <w:color w:val="auto"/>
        </w:rPr>
      </w:pPr>
    </w:p>
    <w:p>
      <w:pPr>
        <w:ind w:right="20" w:firstLine="1944"/>
        <w:spacing w:after="0" w:line="236" w:lineRule="auto"/>
        <w:rPr>
          <w:sz w:val="20"/>
          <w:szCs w:val="20"/>
          <w:color w:val="auto"/>
        </w:rPr>
      </w:pPr>
      <w:r>
        <w:rPr>
          <w:rFonts w:ascii="Times New Roman" w:cs="Times New Roman" w:eastAsia="Times New Roman" w:hAnsi="Times New Roman"/>
          <w:sz w:val="22"/>
          <w:szCs w:val="22"/>
          <w:color w:val="auto"/>
        </w:rPr>
        <w:t xml:space="preserve">(A)all shares of Common Stock covered by SARs shall be counted against the number of shares available for the grant of Awards under the Plan;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22"/>
          <w:szCs w:val="22"/>
          <w:b w:val="1"/>
          <w:bCs w:val="1"/>
          <w:i w:val="1"/>
          <w:iCs w:val="1"/>
          <w:color w:val="auto"/>
        </w:rPr>
        <w:t>Tandem SAR</w:t>
      </w:r>
      <w:r>
        <w:rPr>
          <w:rFonts w:ascii="Times New Roman" w:cs="Times New Roman" w:eastAsia="Times New Roman" w:hAnsi="Times New Roman"/>
          <w:sz w:val="22"/>
          <w:szCs w:val="22"/>
          <w:color w:val="auto"/>
        </w:rPr>
        <w:t>”), only the shares covered by the Option, and not the shares covered by the Tandem SAR, shall be so counted, and the expiration of one in connection with the other’s exercise will not restore shares to the Plan;</w:t>
      </w:r>
    </w:p>
    <w:p>
      <w:pPr>
        <w:spacing w:after="0" w:line="181" w:lineRule="exact"/>
        <w:rPr>
          <w:sz w:val="20"/>
          <w:szCs w:val="20"/>
          <w:color w:val="auto"/>
        </w:rPr>
      </w:pPr>
    </w:p>
    <w:p>
      <w:pPr>
        <w:ind w:right="240" w:firstLine="1944"/>
        <w:spacing w:after="0" w:line="258" w:lineRule="auto"/>
        <w:rPr>
          <w:sz w:val="20"/>
          <w:szCs w:val="20"/>
          <w:color w:val="auto"/>
        </w:rPr>
      </w:pPr>
      <w:r>
        <w:rPr>
          <w:rFonts w:ascii="Times New Roman" w:cs="Times New Roman" w:eastAsia="Times New Roman" w:hAnsi="Times New Roman"/>
          <w:sz w:val="22"/>
          <w:szCs w:val="22"/>
          <w:color w:val="auto"/>
        </w:rPr>
        <w:t>(B)to the extent that an Award may be settled only in cash, no shares shall be counted against the shares available for the grant of Awards under the Plan;</w:t>
      </w:r>
    </w:p>
    <w:p>
      <w:pPr>
        <w:spacing w:after="0" w:line="158" w:lineRule="exact"/>
        <w:rPr>
          <w:sz w:val="20"/>
          <w:szCs w:val="20"/>
          <w:color w:val="auto"/>
        </w:rPr>
      </w:pPr>
    </w:p>
    <w:p>
      <w:pPr>
        <w:ind w:firstLine="1944"/>
        <w:spacing w:after="0" w:line="234" w:lineRule="auto"/>
        <w:rPr>
          <w:sz w:val="20"/>
          <w:szCs w:val="20"/>
          <w:color w:val="auto"/>
        </w:rPr>
      </w:pPr>
      <w:r>
        <w:rPr>
          <w:rFonts w:ascii="Times New Roman" w:cs="Times New Roman" w:eastAsia="Times New Roman" w:hAnsi="Times New Roman"/>
          <w:sz w:val="22"/>
          <w:szCs w:val="22"/>
          <w:color w:val="auto"/>
        </w:rPr>
        <w:t xml:space="preserve">(C)if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Award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79" w:lineRule="exact"/>
        <w:rPr>
          <w:sz w:val="20"/>
          <w:szCs w:val="20"/>
          <w:color w:val="auto"/>
        </w:rPr>
      </w:pPr>
    </w:p>
    <w:p>
      <w:pPr>
        <w:ind w:right="100" w:firstLine="1944"/>
        <w:spacing w:after="0" w:line="239" w:lineRule="auto"/>
        <w:rPr>
          <w:sz w:val="20"/>
          <w:szCs w:val="20"/>
          <w:color w:val="auto"/>
        </w:rPr>
      </w:pPr>
      <w:r>
        <w:rPr>
          <w:rFonts w:ascii="Times New Roman" w:cs="Times New Roman" w:eastAsia="Times New Roman" w:hAnsi="Times New Roman"/>
          <w:sz w:val="22"/>
          <w:szCs w:val="22"/>
          <w:color w:val="auto"/>
        </w:rPr>
        <w:t>(D)shares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 and</w:t>
      </w:r>
    </w:p>
    <w:p>
      <w:pPr>
        <w:spacing w:after="0" w:line="180" w:lineRule="exact"/>
        <w:rPr>
          <w:sz w:val="20"/>
          <w:szCs w:val="20"/>
          <w:color w:val="auto"/>
        </w:rPr>
      </w:pPr>
    </w:p>
    <w:p>
      <w:pPr>
        <w:ind w:right="20" w:firstLine="1944"/>
        <w:spacing w:after="0" w:line="258" w:lineRule="auto"/>
        <w:rPr>
          <w:sz w:val="20"/>
          <w:szCs w:val="20"/>
          <w:color w:val="auto"/>
        </w:rPr>
      </w:pPr>
      <w:r>
        <w:rPr>
          <w:rFonts w:ascii="Times New Roman" w:cs="Times New Roman" w:eastAsia="Times New Roman" w:hAnsi="Times New Roman"/>
          <w:sz w:val="22"/>
          <w:szCs w:val="22"/>
          <w:color w:val="auto"/>
        </w:rPr>
        <w:t>(E)shares of Common Stock repurchased by the Company on the open market using the proceeds from the exercise of an Award shall not increase the number of shares available for future grant of Awards.</w:t>
      </w:r>
    </w:p>
    <w:p>
      <w:pPr>
        <w:spacing w:after="0" w:line="158" w:lineRule="exact"/>
        <w:rPr>
          <w:sz w:val="20"/>
          <w:szCs w:val="20"/>
          <w:color w:val="auto"/>
        </w:rPr>
      </w:pPr>
    </w:p>
    <w:p>
      <w:pPr>
        <w:ind w:firstLine="656"/>
        <w:spacing w:after="0" w:line="246" w:lineRule="auto"/>
        <w:tabs>
          <w:tab w:leader="none" w:pos="917"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 on Awards to Non-Employee Directors</w:t>
      </w:r>
      <w:r>
        <w:rPr>
          <w:rFonts w:ascii="Times New Roman" w:cs="Times New Roman" w:eastAsia="Times New Roman" w:hAnsi="Times New Roman"/>
          <w:sz w:val="21"/>
          <w:szCs w:val="21"/>
          <w:color w:val="auto"/>
        </w:rPr>
        <w:t>. The maximum aggregate amount of cash and value of Awards (calculated based on grant date fair value for financial reporting purposes) granted in any calendar year to any individual non-employee director for services as a director shall not exceed $750,000 in the case of an incumbent director; provided, however, that such maximum aggregate amount shall not exceed $1,000,000 in any calendar year for any individual non-employee director for services as a director in such non-employee director’s initial year of election or appointment; and provided, further, however, that fees paid by the Company on behalf of any non-employee director in connection with regulatory compliance, any amounts paid or Awards made pursuant to a bona fide consulting agreement for services other than as a director, any amounts paid to a non-employee director as reimbursement of an expense and any financial statement expense associated with the modification of an outstanding award (whether or not granted under the Plan) shall not count against the foregoing limit. The Board may make exceptions to this limit for individual non-employee directors in extraordinary circumstances, as the Board may determine 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its discretion, provided that the non-employee director receiving such additional compensation may not participate in the decision to award such compensation.</w:t>
      </w:r>
    </w:p>
    <w:p>
      <w:pPr>
        <w:spacing w:after="0" w:line="158" w:lineRule="exact"/>
        <w:rPr>
          <w:sz w:val="20"/>
          <w:szCs w:val="20"/>
          <w:color w:val="auto"/>
        </w:rPr>
      </w:pPr>
    </w:p>
    <w:p>
      <w:pPr>
        <w:ind w:right="140" w:firstLine="656"/>
        <w:spacing w:after="0" w:line="236" w:lineRule="auto"/>
        <w:tabs>
          <w:tab w:leader="none" w:pos="91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18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p>
    <w:p>
      <w:pPr>
        <w:spacing w:after="0" w:line="200" w:lineRule="exact"/>
        <w:rPr>
          <w:rFonts w:ascii="Times New Roman" w:cs="Times New Roman" w:eastAsia="Times New Roman" w:hAnsi="Times New Roman"/>
          <w:sz w:val="22"/>
          <w:szCs w:val="22"/>
          <w:color w:val="auto"/>
        </w:rPr>
      </w:pPr>
    </w:p>
    <w:p>
      <w:pPr>
        <w:ind w:right="80" w:firstLine="656"/>
        <w:spacing w:after="0" w:line="241" w:lineRule="auto"/>
        <w:tabs>
          <w:tab w:leader="none" w:pos="91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Board may grant options to purchase Common Stock (each, an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77" w:lineRule="exact"/>
        <w:rPr>
          <w:rFonts w:ascii="Times New Roman" w:cs="Times New Roman" w:eastAsia="Times New Roman" w:hAnsi="Times New Roman"/>
          <w:sz w:val="22"/>
          <w:szCs w:val="22"/>
          <w:color w:val="auto"/>
        </w:rPr>
      </w:pPr>
    </w:p>
    <w:p>
      <w:pPr>
        <w:ind w:right="40" w:firstLine="656"/>
        <w:spacing w:after="0" w:line="235" w:lineRule="auto"/>
        <w:tabs>
          <w:tab w:leader="none" w:pos="91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r>
        <w:rPr>
          <w:rFonts w:ascii="Times New Roman" w:cs="Times New Roman" w:eastAsia="Times New Roman" w:hAnsi="Times New Roman"/>
          <w:sz w:val="22"/>
          <w:szCs w:val="22"/>
          <w:color w:val="auto"/>
        </w:rPr>
        <w:t>. An Option that the Board intends to be an “incentive stock option” as defined in Section 422 of the Code (an “</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shall only be granted to employees of Cue Biopharma, Inc., any of Cue Biopharma,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78" w:lineRule="exact"/>
        <w:rPr>
          <w:rFonts w:ascii="Times New Roman" w:cs="Times New Roman" w:eastAsia="Times New Roman" w:hAnsi="Times New Roman"/>
          <w:sz w:val="22"/>
          <w:szCs w:val="22"/>
          <w:color w:val="auto"/>
        </w:rPr>
      </w:pPr>
    </w:p>
    <w:p>
      <w:pPr>
        <w:ind w:right="200" w:firstLine="656"/>
        <w:spacing w:after="0" w:line="236" w:lineRule="auto"/>
        <w:tabs>
          <w:tab w:leader="none" w:pos="91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22"/>
          <w:szCs w:val="22"/>
          <w:b w:val="1"/>
          <w:bCs w:val="1"/>
          <w:i w:val="1"/>
          <w:iCs w:val="1"/>
          <w:color w:val="auto"/>
        </w:rPr>
        <w:t>Grant Date Fair Market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Value</w:t>
      </w:r>
      <w:r>
        <w:rPr>
          <w:rFonts w:ascii="Times New Roman" w:cs="Times New Roman" w:eastAsia="Times New Roman" w:hAnsi="Times New Roman"/>
          <w:sz w:val="22"/>
          <w:szCs w:val="22"/>
          <w:color w:val="auto"/>
        </w:rPr>
        <w:t>” of a share of Common Stock for purposes of the Plan will be determined as follows:</w:t>
      </w:r>
    </w:p>
    <w:p>
      <w:pPr>
        <w:spacing w:after="0" w:line="181" w:lineRule="exact"/>
        <w:rPr>
          <w:rFonts w:ascii="Times New Roman" w:cs="Times New Roman" w:eastAsia="Times New Roman" w:hAnsi="Times New Roman"/>
          <w:sz w:val="22"/>
          <w:szCs w:val="22"/>
          <w:color w:val="auto"/>
        </w:rPr>
      </w:pPr>
    </w:p>
    <w:p>
      <w:pPr>
        <w:ind w:right="20" w:firstLine="1304"/>
        <w:spacing w:after="0" w:line="258" w:lineRule="auto"/>
        <w:tabs>
          <w:tab w:leader="none" w:pos="1835"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trades on a national securities exchange, the closing sale price (for the primary trading session) on the date of grant; or</w:t>
      </w:r>
    </w:p>
    <w:p>
      <w:pPr>
        <w:spacing w:after="0" w:line="158" w:lineRule="exact"/>
        <w:rPr>
          <w:rFonts w:ascii="Times New Roman" w:cs="Times New Roman" w:eastAsia="Times New Roman" w:hAnsi="Times New Roman"/>
          <w:sz w:val="22"/>
          <w:szCs w:val="22"/>
          <w:color w:val="auto"/>
        </w:rPr>
      </w:pPr>
    </w:p>
    <w:p>
      <w:pPr>
        <w:ind w:right="160" w:firstLine="1304"/>
        <w:spacing w:after="0" w:line="258" w:lineRule="auto"/>
        <w:tabs>
          <w:tab w:leader="none" w:pos="1835"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does not trade on any such exchange, the average of the closing bid and asked prices on the date of grant as reported by an over-the-counter marketplace designated by the Board; or</w:t>
      </w:r>
    </w:p>
    <w:p>
      <w:pPr>
        <w:spacing w:after="0" w:line="158" w:lineRule="exact"/>
        <w:rPr>
          <w:rFonts w:ascii="Times New Roman" w:cs="Times New Roman" w:eastAsia="Times New Roman" w:hAnsi="Times New Roman"/>
          <w:sz w:val="22"/>
          <w:szCs w:val="22"/>
          <w:color w:val="auto"/>
        </w:rPr>
      </w:pPr>
    </w:p>
    <w:p>
      <w:pPr>
        <w:jc w:val="both"/>
        <w:ind w:right="40" w:firstLine="1304"/>
        <w:spacing w:after="0" w:line="239" w:lineRule="auto"/>
        <w:tabs>
          <w:tab w:leader="none" w:pos="1835"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Section 409A of the Code or any successor provision thereto, and the regulations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except as the Board may expressly determine otherwise.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7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71" w:lineRule="exact"/>
        <w:rPr>
          <w:sz w:val="20"/>
          <w:szCs w:val="20"/>
          <w:color w:val="auto"/>
        </w:rPr>
      </w:pPr>
    </w:p>
    <w:p>
      <w:pPr>
        <w:ind w:right="200" w:firstLine="656"/>
        <w:spacing w:after="0" w:line="244" w:lineRule="auto"/>
        <w:tabs>
          <w:tab w:leader="none" w:pos="91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Options</w:t>
      </w:r>
      <w:r>
        <w:rPr>
          <w:rFonts w:ascii="Times New Roman" w:cs="Times New Roman" w:eastAsia="Times New Roman" w:hAnsi="Times New Roman"/>
          <w:sz w:val="22"/>
          <w:szCs w:val="22"/>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Option will be granted with a term in excess of 10 years.</w:t>
      </w:r>
    </w:p>
    <w:p>
      <w:pPr>
        <w:spacing w:after="0" w:line="173" w:lineRule="exact"/>
        <w:rPr>
          <w:rFonts w:ascii="Times New Roman" w:cs="Times New Roman" w:eastAsia="Times New Roman" w:hAnsi="Times New Roman"/>
          <w:sz w:val="22"/>
          <w:szCs w:val="22"/>
          <w:color w:val="auto"/>
        </w:rPr>
      </w:pPr>
    </w:p>
    <w:p>
      <w:pPr>
        <w:ind w:right="60" w:firstLine="656"/>
        <w:spacing w:after="0" w:line="239" w:lineRule="auto"/>
        <w:tabs>
          <w:tab w:leader="none" w:pos="91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Options</w:t>
      </w:r>
      <w:r>
        <w:rPr>
          <w:rFonts w:ascii="Times New Roman" w:cs="Times New Roman" w:eastAsia="Times New Roman" w:hAnsi="Times New Roman"/>
          <w:sz w:val="22"/>
          <w:szCs w:val="22"/>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80" w:lineRule="exact"/>
        <w:rPr>
          <w:rFonts w:ascii="Times New Roman" w:cs="Times New Roman" w:eastAsia="Times New Roman" w:hAnsi="Times New Roman"/>
          <w:sz w:val="22"/>
          <w:szCs w:val="22"/>
          <w:color w:val="auto"/>
        </w:rPr>
      </w:pPr>
    </w:p>
    <w:p>
      <w:pPr>
        <w:ind w:right="360" w:firstLine="656"/>
        <w:spacing w:after="0" w:line="258" w:lineRule="auto"/>
        <w:tabs>
          <w:tab w:leader="none" w:pos="91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Upon Exercise</w:t>
      </w:r>
      <w:r>
        <w:rPr>
          <w:rFonts w:ascii="Times New Roman" w:cs="Times New Roman" w:eastAsia="Times New Roman" w:hAnsi="Times New Roman"/>
          <w:sz w:val="22"/>
          <w:szCs w:val="22"/>
          <w:color w:val="auto"/>
        </w:rPr>
        <w:t>. Common Stock purchased upon the exercise of an Option granted under the Plan shall be paid for as follows:</w:t>
      </w:r>
    </w:p>
    <w:p>
      <w:pPr>
        <w:spacing w:after="0" w:line="158"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check, payable to the order of the Company;</w:t>
      </w:r>
    </w:p>
    <w:p>
      <w:pPr>
        <w:spacing w:after="0" w:line="206" w:lineRule="exact"/>
        <w:rPr>
          <w:rFonts w:ascii="Times New Roman" w:cs="Times New Roman" w:eastAsia="Times New Roman" w:hAnsi="Times New Roman"/>
          <w:sz w:val="22"/>
          <w:szCs w:val="22"/>
          <w:color w:val="auto"/>
        </w:rPr>
      </w:pPr>
    </w:p>
    <w:p>
      <w:pPr>
        <w:ind w:right="100" w:firstLine="1304"/>
        <w:spacing w:after="0" w:line="238" w:lineRule="auto"/>
        <w:tabs>
          <w:tab w:leader="none" w:pos="1835"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176" w:lineRule="exact"/>
        <w:rPr>
          <w:rFonts w:ascii="Times New Roman" w:cs="Times New Roman" w:eastAsia="Times New Roman" w:hAnsi="Times New Roman"/>
          <w:sz w:val="22"/>
          <w:szCs w:val="22"/>
          <w:color w:val="auto"/>
        </w:rPr>
      </w:pPr>
    </w:p>
    <w:p>
      <w:pPr>
        <w:ind w:right="20" w:firstLine="1304"/>
        <w:spacing w:after="0" w:line="249" w:lineRule="auto"/>
        <w:tabs>
          <w:tab w:leader="none" w:pos="1835" w:val="left"/>
        </w:tabs>
        <w:numPr>
          <w:ilvl w:val="2"/>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w:t>
      </w:r>
    </w:p>
    <w:p>
      <w:pPr>
        <w:spacing w:after="0" w:line="1" w:lineRule="exact"/>
        <w:rPr>
          <w:rFonts w:ascii="Times New Roman" w:cs="Times New Roman" w:eastAsia="Times New Roman" w:hAnsi="Times New Roman"/>
          <w:sz w:val="21"/>
          <w:szCs w:val="21"/>
          <w:color w:val="auto"/>
        </w:rPr>
      </w:pPr>
    </w:p>
    <w:p>
      <w:pPr>
        <w:ind w:right="40" w:firstLine="8"/>
        <w:spacing w:after="0" w:line="235" w:lineRule="auto"/>
        <w:tabs>
          <w:tab w:leader="none" w:pos="3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77" w:lineRule="exact"/>
        <w:rPr>
          <w:rFonts w:ascii="Times New Roman" w:cs="Times New Roman" w:eastAsia="Times New Roman" w:hAnsi="Times New Roman"/>
          <w:sz w:val="22"/>
          <w:szCs w:val="22"/>
          <w:color w:val="auto"/>
        </w:rPr>
      </w:pPr>
    </w:p>
    <w:p>
      <w:pPr>
        <w:ind w:right="60" w:firstLine="1304"/>
        <w:spacing w:after="0" w:line="238" w:lineRule="auto"/>
        <w:tabs>
          <w:tab w:leader="none" w:pos="1835"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0" w:firstLine="1304"/>
        <w:spacing w:after="0" w:line="258" w:lineRule="auto"/>
        <w:tabs>
          <w:tab w:leader="none" w:pos="1835"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and provided for in the applicable Option agreement or approved by the Board, by payment of such other lawful consideration as the Board may determine; or</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835"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provided for in the applicable Option agreement or approved by the Board, by any combination of the above permitted forms of payment.</w:t>
      </w:r>
    </w:p>
    <w:p>
      <w:pPr>
        <w:spacing w:after="0" w:line="158" w:lineRule="exact"/>
        <w:rPr>
          <w:rFonts w:ascii="Times New Roman" w:cs="Times New Roman" w:eastAsia="Times New Roman" w:hAnsi="Times New Roman"/>
          <w:sz w:val="22"/>
          <w:szCs w:val="22"/>
          <w:color w:val="auto"/>
        </w:rPr>
      </w:pPr>
    </w:p>
    <w:p>
      <w:pPr>
        <w:ind w:firstLine="656"/>
        <w:spacing w:after="0" w:line="234" w:lineRule="auto"/>
        <w:tabs>
          <w:tab w:leader="none" w:pos="91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Repricing</w:t>
      </w:r>
      <w:r>
        <w:rPr>
          <w:rFonts w:ascii="Times New Roman" w:cs="Times New Roman" w:eastAsia="Times New Roman" w:hAnsi="Times New Roman"/>
          <w:sz w:val="22"/>
          <w:szCs w:val="22"/>
          <w:color w:val="auto"/>
        </w:rPr>
        <w:t xml:space="preserve">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560" w:firstLine="656"/>
        <w:spacing w:after="0" w:line="258" w:lineRule="auto"/>
        <w:tabs>
          <w:tab w:leader="none" w:pos="91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Reload Options</w:t>
      </w:r>
      <w:r>
        <w:rPr>
          <w:rFonts w:ascii="Times New Roman" w:cs="Times New Roman" w:eastAsia="Times New Roman" w:hAnsi="Times New Roman"/>
          <w:sz w:val="22"/>
          <w:szCs w:val="22"/>
          <w:color w:val="auto"/>
        </w:rPr>
        <w:t>. No Option granted under the Plan shall contain any provision entitling the Participant to the automatic grant of additional Options in connection with any exercise of the original Option.</w:t>
      </w:r>
    </w:p>
    <w:p>
      <w:pPr>
        <w:spacing w:after="0" w:line="158"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Dividend Equivalents</w:t>
      </w:r>
      <w:r>
        <w:rPr>
          <w:rFonts w:ascii="Times New Roman" w:cs="Times New Roman" w:eastAsia="Times New Roman" w:hAnsi="Times New Roman"/>
          <w:sz w:val="22"/>
          <w:szCs w:val="22"/>
          <w:color w:val="auto"/>
        </w:rPr>
        <w:t>. No Option shall provide for the payment or accrual of dividend equivalents.</w:t>
      </w:r>
    </w:p>
    <w:p>
      <w:pPr>
        <w:spacing w:after="0" w:line="20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Rights</w:t>
      </w:r>
    </w:p>
    <w:p>
      <w:pPr>
        <w:spacing w:after="0" w:line="200" w:lineRule="exact"/>
        <w:rPr>
          <w:rFonts w:ascii="Times New Roman" w:cs="Times New Roman" w:eastAsia="Times New Roman" w:hAnsi="Times New Roman"/>
          <w:sz w:val="22"/>
          <w:szCs w:val="22"/>
          <w:color w:val="auto"/>
        </w:rPr>
      </w:pPr>
    </w:p>
    <w:p>
      <w:pPr>
        <w:jc w:val="both"/>
        <w:ind w:right="320" w:firstLine="656"/>
        <w:spacing w:after="0" w:line="239" w:lineRule="auto"/>
        <w:tabs>
          <w:tab w:leader="none" w:pos="91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Board may grant Awards consisting of stock appreciation rights (“</w:t>
      </w:r>
      <w:r>
        <w:rPr>
          <w:rFonts w:ascii="Times New Roman" w:cs="Times New Roman" w:eastAsia="Times New Roman" w:hAnsi="Times New Roman"/>
          <w:sz w:val="22"/>
          <w:szCs w:val="22"/>
          <w:b w:val="1"/>
          <w:bCs w:val="1"/>
          <w:i w:val="1"/>
          <w:iCs w:val="1"/>
          <w:color w:val="auto"/>
        </w:rPr>
        <w:t>SARs</w:t>
      </w:r>
      <w:r>
        <w:rPr>
          <w:rFonts w:ascii="Times New Roman" w:cs="Times New Roman" w:eastAsia="Times New Roman" w:hAnsi="Times New Roman"/>
          <w:sz w:val="22"/>
          <w:szCs w:val="22"/>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w:t>
      </w:r>
    </w:p>
    <w:p>
      <w:pPr>
        <w:spacing w:after="0" w:line="177" w:lineRule="exact"/>
        <w:rPr>
          <w:rFonts w:ascii="Times New Roman" w:cs="Times New Roman" w:eastAsia="Times New Roman" w:hAnsi="Times New Roman"/>
          <w:sz w:val="22"/>
          <w:szCs w:val="22"/>
          <w:color w:val="auto"/>
        </w:rPr>
      </w:pPr>
    </w:p>
    <w:p>
      <w:pPr>
        <w:ind w:right="120" w:firstLine="656"/>
        <w:spacing w:after="0" w:line="255" w:lineRule="auto"/>
        <w:tabs>
          <w:tab w:leader="none" w:pos="91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Measurement Price</w:t>
      </w:r>
      <w:r>
        <w:rPr>
          <w:rFonts w:ascii="Times New Roman" w:cs="Times New Roman" w:eastAsia="Times New Roman" w:hAnsi="Times New Roman"/>
          <w:sz w:val="21"/>
          <w:szCs w:val="21"/>
          <w:color w:val="auto"/>
        </w:rPr>
        <w:t xml:space="preserve">. The Board shall establish the measurement price of each SAR and specify it in the applicable SAR agreement. The measurement price shall not be less than 100% of the Grant Date Fair Market Value (as defined in Section 5(c)) of the Common Stock on the date the SAR is granted;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Board approves the grant of an SAR effective as of a future date, the measurement price shall be not less than 100% of the Grant Date Fair Market Value on such future date.</w:t>
      </w:r>
    </w:p>
    <w:p>
      <w:pPr>
        <w:spacing w:after="0" w:line="161" w:lineRule="exact"/>
        <w:rPr>
          <w:rFonts w:ascii="Times New Roman" w:cs="Times New Roman" w:eastAsia="Times New Roman" w:hAnsi="Times New Roman"/>
          <w:sz w:val="21"/>
          <w:szCs w:val="21"/>
          <w:color w:val="auto"/>
        </w:rPr>
      </w:pPr>
    </w:p>
    <w:p>
      <w:pPr>
        <w:jc w:val="both"/>
        <w:ind w:right="60" w:firstLine="656"/>
        <w:spacing w:after="0" w:line="282" w:lineRule="auto"/>
        <w:tabs>
          <w:tab w:leader="none" w:pos="91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 of SARs</w:t>
      </w:r>
      <w:r>
        <w:rPr>
          <w:rFonts w:ascii="Times New Roman" w:cs="Times New Roman" w:eastAsia="Times New Roman" w:hAnsi="Times New Roman"/>
          <w:sz w:val="21"/>
          <w:szCs w:val="21"/>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SAR will be granted with a term in excess of 10 years.</w:t>
      </w:r>
    </w:p>
    <w:p>
      <w:pPr>
        <w:spacing w:after="0" w:line="134" w:lineRule="exact"/>
        <w:rPr>
          <w:rFonts w:ascii="Times New Roman" w:cs="Times New Roman" w:eastAsia="Times New Roman" w:hAnsi="Times New Roman"/>
          <w:sz w:val="21"/>
          <w:szCs w:val="21"/>
          <w:color w:val="auto"/>
        </w:rPr>
      </w:pPr>
    </w:p>
    <w:p>
      <w:pPr>
        <w:ind w:right="200" w:firstLine="656"/>
        <w:spacing w:after="0" w:line="258" w:lineRule="auto"/>
        <w:tabs>
          <w:tab w:leader="none" w:pos="91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SARs</w:t>
      </w:r>
      <w:r>
        <w:rPr>
          <w:rFonts w:ascii="Times New Roman" w:cs="Times New Roman" w:eastAsia="Times New Roman" w:hAnsi="Times New Roman"/>
          <w:sz w:val="22"/>
          <w:szCs w:val="22"/>
          <w:color w:val="auto"/>
        </w:rPr>
        <w:t>. SARs may be exercised by delivery to the Company of a notice of exercise in a form (which may be electronic) approved by the Company, together with any other documents required by the Board.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40" w:firstLine="656"/>
        <w:spacing w:after="0" w:line="234" w:lineRule="auto"/>
        <w:tabs>
          <w:tab w:leader="none" w:pos="91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Repricing</w:t>
      </w:r>
      <w:r>
        <w:rPr>
          <w:rFonts w:ascii="Times New Roman" w:cs="Times New Roman" w:eastAsia="Times New Roman" w:hAnsi="Times New Roman"/>
          <w:sz w:val="22"/>
          <w:szCs w:val="22"/>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Exchange.</w:t>
      </w:r>
    </w:p>
    <w:p>
      <w:pPr>
        <w:spacing w:after="0" w:line="183" w:lineRule="exact"/>
        <w:rPr>
          <w:rFonts w:ascii="Times New Roman" w:cs="Times New Roman" w:eastAsia="Times New Roman" w:hAnsi="Times New Roman"/>
          <w:sz w:val="22"/>
          <w:szCs w:val="22"/>
          <w:color w:val="auto"/>
        </w:rPr>
      </w:pPr>
    </w:p>
    <w:p>
      <w:pPr>
        <w:ind w:firstLine="656"/>
        <w:spacing w:after="0" w:line="258" w:lineRule="auto"/>
        <w:tabs>
          <w:tab w:leader="none" w:pos="91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Reload SARs</w:t>
      </w:r>
      <w:r>
        <w:rPr>
          <w:rFonts w:ascii="Times New Roman" w:cs="Times New Roman" w:eastAsia="Times New Roman" w:hAnsi="Times New Roman"/>
          <w:sz w:val="22"/>
          <w:szCs w:val="22"/>
          <w:color w:val="auto"/>
        </w:rPr>
        <w:t>. No SAR granted under the Plan shall contain any provision entitling the Participant to the automatic grant of additional SARs in connection with any exercise of the original SAR.</w:t>
      </w:r>
    </w:p>
    <w:p>
      <w:pPr>
        <w:spacing w:after="0" w:line="158"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Dividend Equivalents</w:t>
      </w:r>
      <w:r>
        <w:rPr>
          <w:rFonts w:ascii="Times New Roman" w:cs="Times New Roman" w:eastAsia="Times New Roman" w:hAnsi="Times New Roman"/>
          <w:sz w:val="22"/>
          <w:szCs w:val="22"/>
          <w:color w:val="auto"/>
        </w:rPr>
        <w:t>. No SAR shall provide for the payment or accrual of dividend equivalents.</w:t>
      </w:r>
    </w:p>
    <w:p>
      <w:pPr>
        <w:spacing w:after="0" w:line="20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RSUs</w:t>
      </w:r>
    </w:p>
    <w:p>
      <w:pPr>
        <w:spacing w:after="0" w:line="200" w:lineRule="exact"/>
        <w:rPr>
          <w:rFonts w:ascii="Times New Roman" w:cs="Times New Roman" w:eastAsia="Times New Roman" w:hAnsi="Times New Roman"/>
          <w:sz w:val="22"/>
          <w:szCs w:val="22"/>
          <w:color w:val="auto"/>
        </w:rPr>
      </w:pPr>
    </w:p>
    <w:p>
      <w:pPr>
        <w:ind w:right="20" w:firstLine="656"/>
        <w:spacing w:after="0" w:line="237" w:lineRule="auto"/>
        <w:tabs>
          <w:tab w:leader="none" w:pos="91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Board may grant Awards entitling recipients to acquire shares of Common Stock (“</w:t>
      </w:r>
      <w:r>
        <w:rPr>
          <w:rFonts w:ascii="Times New Roman" w:cs="Times New Roman" w:eastAsia="Times New Roman" w:hAnsi="Times New Roman"/>
          <w:sz w:val="22"/>
          <w:szCs w:val="22"/>
          <w:b w:val="1"/>
          <w:bCs w:val="1"/>
          <w:i w:val="1"/>
          <w:iCs w:val="1"/>
          <w:color w:val="auto"/>
        </w:rPr>
        <w:t>Restricted Stock</w:t>
      </w:r>
      <w:r>
        <w:rPr>
          <w:rFonts w:ascii="Times New Roman" w:cs="Times New Roman" w:eastAsia="Times New Roman" w:hAnsi="Times New Roman"/>
          <w:sz w:val="22"/>
          <w:szCs w:val="22"/>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right="780" w:firstLine="656"/>
        <w:spacing w:after="0" w:line="282" w:lineRule="auto"/>
        <w:tabs>
          <w:tab w:leader="none" w:pos="91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and Conditions for Restricted Stock and RSUs</w:t>
      </w:r>
      <w:r>
        <w:rPr>
          <w:rFonts w:ascii="Times New Roman" w:cs="Times New Roman" w:eastAsia="Times New Roman" w:hAnsi="Times New Roman"/>
          <w:sz w:val="21"/>
          <w:szCs w:val="21"/>
          <w:color w:val="auto"/>
        </w:rPr>
        <w:t>. The Board shall determine the terms and conditions of Restricted Stock and RSUs, including the conditions for vesting and repurchase (or forfeiture) and the issue price, if any.</w:t>
      </w:r>
    </w:p>
    <w:p>
      <w:pPr>
        <w:spacing w:after="0" w:line="134"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Provisions Relating to Restricted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304"/>
        <w:spacing w:after="0" w:line="249" w:lineRule="auto"/>
        <w:tabs>
          <w:tab w:leader="none" w:pos="1835"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Any dividends (whether paid in cash, stock or property) declared and paid by the Company with respect to shares of Restricted Stock (“</w:t>
      </w:r>
      <w:r>
        <w:rPr>
          <w:rFonts w:ascii="Times New Roman" w:cs="Times New Roman" w:eastAsia="Times New Roman" w:hAnsi="Times New Roman"/>
          <w:sz w:val="21"/>
          <w:szCs w:val="21"/>
          <w:b w:val="1"/>
          <w:bCs w:val="1"/>
          <w:i w:val="1"/>
          <w:iCs w:val="1"/>
          <w:color w:val="auto"/>
        </w:rPr>
        <w:t>Unvested Dividends</w:t>
      </w:r>
      <w:r>
        <w:rPr>
          <w:rFonts w:ascii="Times New Roman" w:cs="Times New Roman" w:eastAsia="Times New Roman" w:hAnsi="Times New Roman"/>
          <w:sz w:val="21"/>
          <w:szCs w:val="21"/>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70" w:lineRule="exact"/>
        <w:rPr>
          <w:rFonts w:ascii="Times New Roman" w:cs="Times New Roman" w:eastAsia="Times New Roman" w:hAnsi="Times New Roman"/>
          <w:sz w:val="21"/>
          <w:szCs w:val="21"/>
          <w:color w:val="auto"/>
        </w:rPr>
      </w:pPr>
    </w:p>
    <w:p>
      <w:pPr>
        <w:ind w:firstLine="1304"/>
        <w:spacing w:after="0" w:line="251" w:lineRule="auto"/>
        <w:tabs>
          <w:tab w:leader="none" w:pos="1835"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Certificates/Issuance</w:t>
      </w:r>
      <w:r>
        <w:rPr>
          <w:rFonts w:ascii="Times New Roman" w:cs="Times New Roman" w:eastAsia="Times New Roman" w:hAnsi="Times New Roman"/>
          <w:sz w:val="21"/>
          <w:szCs w:val="21"/>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restrictions (or, to the extent the Restricted Stock was issued in book entry, remove the restrictions) to the Participant or if the Participant has died, to such Participant’s Designated Beneficiary (as defined below).</w:t>
      </w:r>
    </w:p>
    <w:p>
      <w:pPr>
        <w:spacing w:after="0" w:line="158" w:lineRule="exact"/>
        <w:rPr>
          <w:sz w:val="20"/>
          <w:szCs w:val="20"/>
          <w:color w:val="auto"/>
        </w:rPr>
      </w:pPr>
    </w:p>
    <w:p>
      <w:pPr>
        <w:ind w:left="920" w:hanging="264"/>
        <w:spacing w:after="0"/>
        <w:tabs>
          <w:tab w:leader="none" w:pos="9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Provisions Relating to RSUs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20" w:firstLine="1304"/>
        <w:spacing w:after="0" w:line="236" w:lineRule="auto"/>
        <w:tabs>
          <w:tab w:leader="none" w:pos="1835"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18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A Participant shall have no voting rights with respect to any RSUs.</w:t>
      </w:r>
    </w:p>
    <w:p>
      <w:pPr>
        <w:spacing w:after="0" w:line="206" w:lineRule="exact"/>
        <w:rPr>
          <w:rFonts w:ascii="Times New Roman" w:cs="Times New Roman" w:eastAsia="Times New Roman" w:hAnsi="Times New Roman"/>
          <w:sz w:val="22"/>
          <w:szCs w:val="22"/>
          <w:color w:val="auto"/>
        </w:rPr>
      </w:pPr>
    </w:p>
    <w:p>
      <w:pPr>
        <w:ind w:right="20" w:firstLine="1304"/>
        <w:spacing w:after="0" w:line="236" w:lineRule="auto"/>
        <w:tabs>
          <w:tab w:leader="none" w:pos="1835"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22"/>
          <w:szCs w:val="22"/>
          <w:b w:val="1"/>
          <w:bCs w:val="1"/>
          <w:i w:val="1"/>
          <w:iCs w:val="1"/>
          <w:color w:val="auto"/>
        </w:rPr>
        <w:t>Dividend Equivalents</w:t>
      </w:r>
      <w:r>
        <w:rPr>
          <w:rFonts w:ascii="Times New Roman" w:cs="Times New Roman" w:eastAsia="Times New Roman" w:hAnsi="Times New Roman"/>
          <w:sz w:val="22"/>
          <w:szCs w:val="22"/>
          <w:color w:val="auto"/>
        </w:rPr>
        <w:t>”).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18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Stock-Based and Cash-Based Awards</w:t>
      </w:r>
    </w:p>
    <w:p>
      <w:pPr>
        <w:spacing w:after="0" w:line="206" w:lineRule="exact"/>
        <w:rPr>
          <w:rFonts w:ascii="Times New Roman" w:cs="Times New Roman" w:eastAsia="Times New Roman" w:hAnsi="Times New Roman"/>
          <w:sz w:val="22"/>
          <w:szCs w:val="22"/>
          <w:color w:val="auto"/>
        </w:rPr>
      </w:pPr>
    </w:p>
    <w:p>
      <w:pPr>
        <w:ind w:right="20" w:firstLine="656"/>
        <w:spacing w:after="0" w:line="236" w:lineRule="auto"/>
        <w:tabs>
          <w:tab w:leader="none" w:pos="91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22"/>
          <w:szCs w:val="22"/>
          <w:b w:val="1"/>
          <w:bCs w:val="1"/>
          <w:i w:val="1"/>
          <w:iCs w:val="1"/>
          <w:color w:val="auto"/>
        </w:rPr>
        <w:t>Other Stock-Based Awards</w:t>
      </w:r>
      <w:r>
        <w:rPr>
          <w:rFonts w:ascii="Times New Roman" w:cs="Times New Roman" w:eastAsia="Times New Roman" w:hAnsi="Times New Roman"/>
          <w:sz w:val="22"/>
          <w:szCs w:val="22"/>
          <w:color w:val="auto"/>
        </w:rPr>
        <w:t>”). Such Other Stock-Based Awards shall also be available as a form of payment in the settlement of other Awards granted under the Plan or as payment in lieu of, or in satisfaction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cs="Times New Roman" w:eastAsia="Times New Roman" w:hAnsi="Times New Roman"/>
          <w:sz w:val="22"/>
          <w:szCs w:val="22"/>
          <w:b w:val="1"/>
          <w:bCs w:val="1"/>
          <w:i w:val="1"/>
          <w:iCs w:val="1"/>
          <w:color w:val="auto"/>
        </w:rPr>
        <w:t>Cash-Based Awards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340" w:firstLine="656"/>
        <w:spacing w:after="0" w:line="258" w:lineRule="auto"/>
        <w:tabs>
          <w:tab w:leader="none" w:pos="91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Subject to the provisions of the Plan, the Board shall determine the terms and conditions of each Other Stock-Based Award or Cash-Based Award, including any purchase price applicable thereto.</w:t>
      </w:r>
    </w:p>
    <w:p>
      <w:pPr>
        <w:spacing w:after="0" w:line="158" w:lineRule="exact"/>
        <w:rPr>
          <w:rFonts w:ascii="Times New Roman" w:cs="Times New Roman" w:eastAsia="Times New Roman" w:hAnsi="Times New Roman"/>
          <w:sz w:val="22"/>
          <w:szCs w:val="22"/>
          <w:color w:val="auto"/>
        </w:rPr>
      </w:pPr>
    </w:p>
    <w:p>
      <w:pPr>
        <w:ind w:firstLine="656"/>
        <w:spacing w:after="0" w:line="238" w:lineRule="auto"/>
        <w:tabs>
          <w:tab w:leader="none" w:pos="91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w:t>
      </w:r>
    </w:p>
    <w:p>
      <w:pPr>
        <w:spacing w:after="0" w:line="17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Awards.</w:t>
      </w:r>
    </w:p>
    <w:p>
      <w:pPr>
        <w:spacing w:after="0" w:line="206" w:lineRule="exact"/>
        <w:rPr>
          <w:rFonts w:ascii="Times New Roman" w:cs="Times New Roman" w:eastAsia="Times New Roman" w:hAnsi="Times New Roman"/>
          <w:sz w:val="22"/>
          <w:szCs w:val="22"/>
          <w:color w:val="auto"/>
        </w:rPr>
      </w:pPr>
    </w:p>
    <w:p>
      <w:pPr>
        <w:ind w:right="40" w:firstLine="656"/>
        <w:spacing w:after="0" w:line="258" w:lineRule="auto"/>
        <w:tabs>
          <w:tab w:leader="none" w:pos="91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Awards under the Plan may be made subject to the achievement of performance goals pursuant to this Section 9 (“</w:t>
      </w:r>
      <w:r>
        <w:rPr>
          <w:rFonts w:ascii="Times New Roman" w:cs="Times New Roman" w:eastAsia="Times New Roman" w:hAnsi="Times New Roman"/>
          <w:sz w:val="22"/>
          <w:szCs w:val="22"/>
          <w:b w:val="1"/>
          <w:bCs w:val="1"/>
          <w:i w:val="1"/>
          <w:iCs w:val="1"/>
          <w:color w:val="auto"/>
        </w:rPr>
        <w:t>Performance Awards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right="60" w:firstLine="656"/>
        <w:spacing w:after="0" w:line="258" w:lineRule="auto"/>
        <w:tabs>
          <w:tab w:leader="none" w:pos="91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Measures</w:t>
      </w:r>
      <w:r>
        <w:rPr>
          <w:rFonts w:ascii="Times New Roman" w:cs="Times New Roman" w:eastAsia="Times New Roman" w:hAnsi="Times New Roman"/>
          <w:sz w:val="22"/>
          <w:szCs w:val="22"/>
          <w:color w:val="auto"/>
        </w:rPr>
        <w:t>. The Board may specify that the degree of granting, vesting and/or payout of any Performance Award shall be subject to the achievement of one or more performance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1"/>
          <w:szCs w:val="21"/>
          <w:color w:val="auto"/>
        </w:rPr>
        <w:t>measures established by the Board, which may be based on the relative or absolute attainment of specified levels of one or any combination of the following, and which may be determined pursuant to generally accepted accounting principles (“</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or on a non-GAAP basis, as determined by the Board: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business, technologies and assets; (vi) new product or service releases; (vii) the achievement of qualitative or quantitative performance measures set forth in operating plans approved by the Board from time to time; (viii)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(xii) other comparable measures of financial and operational performance; and/ or (xiii)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(i) extraordinary items;</w:t>
      </w:r>
    </w:p>
    <w:p>
      <w:pPr>
        <w:spacing w:after="0" w:line="13"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gains or losses on the dispositions of discontinued operations; (iii) the cumulative effects of changes in accounting principles;</w:t>
      </w:r>
    </w:p>
    <w:p>
      <w:pPr>
        <w:spacing w:after="0" w:line="1" w:lineRule="exact"/>
        <w:rPr>
          <w:rFonts w:ascii="Times New Roman" w:cs="Times New Roman" w:eastAsia="Times New Roman" w:hAnsi="Times New Roman"/>
          <w:sz w:val="21"/>
          <w:szCs w:val="21"/>
          <w:color w:val="auto"/>
        </w:rPr>
      </w:pPr>
    </w:p>
    <w:p>
      <w:pPr>
        <w:ind w:right="40" w:firstLine="8"/>
        <w:spacing w:after="0" w:line="241" w:lineRule="auto"/>
        <w:tabs>
          <w:tab w:leader="none" w:pos="36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writedown of any asset; (v) fluctuation in foreign currency exchange rates; (vi) charges for restructuring and rationalization programs; (vii) non-cash, mark-to-market adjustments on derivative instruments; (viii) amortization of purchased intangibles; (ix) the net impact of tax rate changes; (x) non-cash asset impairment charges; and (xi) any other factors as the Board may determine. Such performance measures: (x) may vary by Participant and may be different for different Awards; (y) may be particular to a Participant or the department, branch, line of business, subsidiary or other unit in which the Participant works; and</w:t>
      </w:r>
    </w:p>
    <w:p>
      <w:pPr>
        <w:spacing w:after="0" w:line="2" w:lineRule="exact"/>
        <w:rPr>
          <w:rFonts w:ascii="Times New Roman" w:cs="Times New Roman" w:eastAsia="Times New Roman" w:hAnsi="Times New Roman"/>
          <w:sz w:val="21"/>
          <w:szCs w:val="21"/>
          <w:color w:val="auto"/>
        </w:rPr>
      </w:pPr>
    </w:p>
    <w:p>
      <w:pPr>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(z) may cover such period as may be specified by the Board. The Board shall have the authority to make equitable adjustments to the performance goals in recognition of any changes in the Company’s capitalization,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79" w:lineRule="exact"/>
        <w:rPr>
          <w:rFonts w:ascii="Times New Roman" w:cs="Times New Roman" w:eastAsia="Times New Roman" w:hAnsi="Times New Roman"/>
          <w:sz w:val="21"/>
          <w:szCs w:val="21"/>
          <w:color w:val="auto"/>
        </w:rPr>
      </w:pPr>
    </w:p>
    <w:p>
      <w:pPr>
        <w:ind w:right="200" w:firstLine="656"/>
        <w:spacing w:after="0" w:line="258" w:lineRule="auto"/>
        <w:tabs>
          <w:tab w:leader="none" w:pos="91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Board may adjust the cash or number of shares payable pursuant to such Performance Award, and the Board may, at any time, waive the achievement of the applicable performance measures.</w:t>
      </w:r>
    </w:p>
    <w:p>
      <w:pPr>
        <w:spacing w:after="0" w:line="158" w:lineRule="exact"/>
        <w:rPr>
          <w:rFonts w:ascii="Times New Roman" w:cs="Times New Roman" w:eastAsia="Times New Roman" w:hAnsi="Times New Roman"/>
          <w:sz w:val="22"/>
          <w:szCs w:val="22"/>
          <w:color w:val="auto"/>
        </w:rPr>
      </w:pPr>
    </w:p>
    <w:p>
      <w:pPr>
        <w:ind w:firstLine="656"/>
        <w:spacing w:after="0" w:line="239" w:lineRule="auto"/>
        <w:tabs>
          <w:tab w:leader="none" w:pos="91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Dividend Equivalents</w:t>
      </w:r>
      <w:r>
        <w:rPr>
          <w:rFonts w:ascii="Times New Roman" w:cs="Times New Roman" w:eastAsia="Times New Roman" w:hAnsi="Times New Roman"/>
          <w:sz w:val="22"/>
          <w:szCs w:val="22"/>
          <w:color w:val="auto"/>
        </w:rPr>
        <w:t>.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7(c)(i), and any right to receive Dividend Equivalents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an award of RSUs and Other Stock-Based Awards shall be subject to Sections 7(d)(1) and 8(c), as applicable.</w:t>
      </w:r>
    </w:p>
    <w:p>
      <w:pPr>
        <w:spacing w:after="0" w:line="206"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Changes in Common Stock and Certain Other Events</w:t>
      </w:r>
    </w:p>
    <w:p>
      <w:pPr>
        <w:spacing w:after="0" w:line="206" w:lineRule="exact"/>
        <w:rPr>
          <w:rFonts w:ascii="Times New Roman" w:cs="Times New Roman" w:eastAsia="Times New Roman" w:hAnsi="Times New Roman"/>
          <w:sz w:val="22"/>
          <w:szCs w:val="22"/>
          <w:color w:val="auto"/>
        </w:rPr>
      </w:pPr>
    </w:p>
    <w:p>
      <w:pPr>
        <w:ind w:right="20" w:firstLine="656"/>
        <w:spacing w:after="0" w:line="233" w:lineRule="auto"/>
        <w:tabs>
          <w:tab w:leader="none" w:pos="91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Capitalization</w:t>
      </w:r>
      <w:r>
        <w:rPr>
          <w:rFonts w:ascii="Times New Roman" w:cs="Times New Roman" w:eastAsia="Times New Roman" w:hAnsi="Times New Roman"/>
          <w:sz w:val="22"/>
          <w:szCs w:val="22"/>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shares available under the Plan, (ii) the share counting rules set forth in Section 4(a) (iii) the number, class, exercise, measurement or purchase price and any other per-share related provisions of shares subject of each outstanding Award, and (iv) any performance goals applicable to an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2"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Events</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firstLine="1304"/>
        <w:spacing w:after="0" w:line="239" w:lineRule="auto"/>
        <w:tabs>
          <w:tab w:leader="none" w:pos="1835"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Reorganization Event</w:t>
      </w:r>
      <w:r>
        <w:rPr>
          <w:rFonts w:ascii="Times New Roman" w:cs="Times New Roman" w:eastAsia="Times New Roman" w:hAnsi="Times New Roman"/>
          <w:sz w:val="22"/>
          <w:szCs w:val="22"/>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17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a Reorganization Event on Awards Other than Restricted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944"/>
        <w:spacing w:after="0" w:line="239" w:lineRule="auto"/>
        <w:rPr>
          <w:sz w:val="20"/>
          <w:szCs w:val="20"/>
          <w:color w:val="auto"/>
        </w:rPr>
      </w:pPr>
      <w:r>
        <w:rPr>
          <w:rFonts w:ascii="Times New Roman" w:cs="Times New Roman" w:eastAsia="Times New Roman" w:hAnsi="Times New Roman"/>
          <w:sz w:val="22"/>
          <w:szCs w:val="22"/>
          <w:color w:val="auto"/>
        </w:rPr>
        <w:t>(A)In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another agreement between the Company and the Participant or another Company plan):</w:t>
      </w:r>
    </w:p>
    <w:p>
      <w:pPr>
        <w:spacing w:after="0" w:line="180" w:lineRule="exact"/>
        <w:rPr>
          <w:sz w:val="20"/>
          <w:szCs w:val="20"/>
          <w:color w:val="auto"/>
        </w:rPr>
      </w:pPr>
    </w:p>
    <w:p>
      <w:pPr>
        <w:ind w:right="140" w:firstLine="8"/>
        <w:spacing w:after="0" w:line="258" w:lineRule="auto"/>
        <w:tabs>
          <w:tab w:leader="none" w:pos="25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Awards shall be assumed, or substantially equivalent awards shall be substituted, by the acquiring or succeeding corporation (or an affiliate thereof);</w:t>
      </w:r>
    </w:p>
    <w:p>
      <w:pPr>
        <w:spacing w:after="0" w:line="158" w:lineRule="exact"/>
        <w:rPr>
          <w:rFonts w:ascii="Times New Roman" w:cs="Times New Roman" w:eastAsia="Times New Roman" w:hAnsi="Times New Roman"/>
          <w:sz w:val="22"/>
          <w:szCs w:val="22"/>
          <w:color w:val="auto"/>
        </w:rPr>
      </w:pPr>
    </w:p>
    <w:p>
      <w:pPr>
        <w:ind w:firstLine="8"/>
        <w:spacing w:after="0" w:line="239" w:lineRule="auto"/>
        <w:tabs>
          <w:tab w:leader="none" w:pos="3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to a Participant, provide that unvested Awards will be forfeited immediately prior to the consummation of such Reorganization Event and/or that unexercised Awards will terminate immediately prior to the consummation of such Reorganization Event unless exercised by the Participant (to the extent then exercisable) within a specified period following the date of such notice;</w:t>
      </w:r>
    </w:p>
    <w:p>
      <w:pPr>
        <w:spacing w:after="0" w:line="180" w:lineRule="exact"/>
        <w:rPr>
          <w:rFonts w:ascii="Times New Roman" w:cs="Times New Roman" w:eastAsia="Times New Roman" w:hAnsi="Times New Roman"/>
          <w:sz w:val="22"/>
          <w:szCs w:val="22"/>
          <w:color w:val="auto"/>
        </w:rPr>
      </w:pPr>
    </w:p>
    <w:p>
      <w:pPr>
        <w:ind w:right="60" w:firstLine="8"/>
        <w:spacing w:after="0" w:line="258" w:lineRule="auto"/>
        <w:tabs>
          <w:tab w:leader="none" w:pos="37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Awards shall become exercisable, realizable or deliverable, or restrictions applicable to an Award shall lapse, in whole or in part prior to or upon such Reorganization Event;</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4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provide for a payment, in such form (which may include, without limitation, cash, cash equivalents and/or securities of the acquiring or succeeding corporation (or an affiliate thereof)) as may be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determined by the Board, to Participants with respect to an Award held by a Participant equal in value to (A) the number of shares of Common Stock subject to the vested portion of the Award (after giving effect to any acceleration of vesting that occurs upon or immediately prior to such Reorganization Event) multiplied by (B) the excess, if any, of (I) the amount of cash and/or value, as determined by the Board in its discretion, of any non-cash consideration per share of Common Stock to be received by holders of Common Stock as a result of the Reorganization Event (the “</w:t>
      </w:r>
      <w:r>
        <w:rPr>
          <w:rFonts w:ascii="Times New Roman" w:cs="Times New Roman" w:eastAsia="Times New Roman" w:hAnsi="Times New Roman"/>
          <w:sz w:val="22"/>
          <w:szCs w:val="22"/>
          <w:b w:val="1"/>
          <w:bCs w:val="1"/>
          <w:i w:val="1"/>
          <w:iCs w:val="1"/>
          <w:color w:val="auto"/>
        </w:rPr>
        <w:t>Acquisition Price</w:t>
      </w:r>
      <w:r>
        <w:rPr>
          <w:rFonts w:ascii="Times New Roman" w:cs="Times New Roman" w:eastAsia="Times New Roman" w:hAnsi="Times New Roman"/>
          <w:sz w:val="22"/>
          <w:szCs w:val="22"/>
          <w:color w:val="auto"/>
        </w:rPr>
        <w:t xml:space="preserve">”) over (II) the exercise, measurement or purchase price of such Award and any applicable tax withholdings, in exchange for the termination of such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escrow, holdback, earn-out or similar provisions in the definitive agreement governing the Reorganization Event may, as determined by the Board, apply to such payment to the same extent and in the same manner as such provisions apply to holders of Common Stock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Acquisition Price does not exceed the exercise price of such Award, then the Award shall be canceled without any payment of consideration therefor;</w:t>
      </w:r>
    </w:p>
    <w:p>
      <w:pPr>
        <w:spacing w:after="0" w:line="179" w:lineRule="exact"/>
        <w:rPr>
          <w:sz w:val="20"/>
          <w:szCs w:val="20"/>
          <w:color w:val="auto"/>
        </w:rPr>
      </w:pPr>
    </w:p>
    <w:p>
      <w:pPr>
        <w:ind w:right="320" w:firstLine="8"/>
        <w:spacing w:after="0" w:line="244" w:lineRule="auto"/>
        <w:tabs>
          <w:tab w:leader="none" w:pos="30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in connection with a liquidation or dissolution of the Company, Awards shall convert into the right to receive liquidation proceeds (if applicable, net of the exercise, measurement or purchase price thereof and any applicable tax withholdings); and</w:t>
      </w:r>
    </w:p>
    <w:p>
      <w:pPr>
        <w:spacing w:after="0" w:line="17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0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In taking any of the actions permitted under this Section 10(b)(2)(A), the Board shall not be obligated by the Plan to treat all Awards, all Awards held by a Participant, or all Awards of the same type, identically.</w:t>
      </w:r>
    </w:p>
    <w:p>
      <w:pPr>
        <w:spacing w:after="0" w:line="158" w:lineRule="exact"/>
        <w:rPr>
          <w:sz w:val="20"/>
          <w:szCs w:val="20"/>
          <w:color w:val="auto"/>
        </w:rPr>
      </w:pPr>
    </w:p>
    <w:p>
      <w:pPr>
        <w:ind w:firstLine="1944"/>
        <w:spacing w:after="0" w:line="244" w:lineRule="auto"/>
        <w:rPr>
          <w:sz w:val="20"/>
          <w:szCs w:val="20"/>
          <w:color w:val="auto"/>
        </w:rPr>
      </w:pPr>
      <w:r>
        <w:rPr>
          <w:rFonts w:ascii="Times New Roman" w:cs="Times New Roman" w:eastAsia="Times New Roman" w:hAnsi="Times New Roman"/>
          <w:sz w:val="21"/>
          <w:szCs w:val="21"/>
          <w:color w:val="auto"/>
        </w:rPr>
        <w:t>(B)Notwithstanding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w:t>
      </w:r>
    </w:p>
    <w:p>
      <w:pPr>
        <w:spacing w:after="0" w:line="1"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(2)(A), then the unvested RSUs shall terminate immediately prior to the consummation of the Reorganization Event without any payment in exchange therefor.</w:t>
      </w:r>
    </w:p>
    <w:p>
      <w:pPr>
        <w:spacing w:after="0" w:line="178" w:lineRule="exact"/>
        <w:rPr>
          <w:sz w:val="20"/>
          <w:szCs w:val="20"/>
          <w:color w:val="auto"/>
        </w:rPr>
      </w:pPr>
    </w:p>
    <w:p>
      <w:pPr>
        <w:ind w:right="20" w:firstLine="1944"/>
        <w:spacing w:after="0" w:line="233" w:lineRule="auto"/>
        <w:rPr>
          <w:sz w:val="20"/>
          <w:szCs w:val="20"/>
          <w:color w:val="auto"/>
        </w:rPr>
      </w:pPr>
      <w:r>
        <w:rPr>
          <w:rFonts w:ascii="Times New Roman" w:cs="Times New Roman" w:eastAsia="Times New Roman" w:hAnsi="Times New Roman"/>
          <w:sz w:val="22"/>
          <w:szCs w:val="22"/>
          <w:color w:val="auto"/>
        </w:rPr>
        <w:t xml:space="preserve">(C)For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date of such determination or another date specified by the Board) to the per share consideration received by holders of outstanding shares of Common Stock as a result of the Reorganization Event.</w:t>
      </w:r>
    </w:p>
    <w:p>
      <w:pPr>
        <w:spacing w:after="0" w:line="158" w:lineRule="exact"/>
        <w:rPr>
          <w:sz w:val="20"/>
          <w:szCs w:val="20"/>
          <w:color w:val="auto"/>
        </w:rPr>
      </w:pPr>
    </w:p>
    <w:p>
      <w:pPr>
        <w:ind w:right="580" w:firstLine="1944"/>
        <w:spacing w:after="0" w:line="239" w:lineRule="auto"/>
        <w:rPr>
          <w:sz w:val="20"/>
          <w:szCs w:val="20"/>
          <w:color w:val="auto"/>
        </w:rPr>
      </w:pPr>
      <w:r>
        <w:rPr>
          <w:rFonts w:ascii="Times New Roman" w:cs="Times New Roman" w:eastAsia="Times New Roman" w:hAnsi="Times New Roman"/>
          <w:sz w:val="22"/>
          <w:szCs w:val="22"/>
          <w:color w:val="auto"/>
        </w:rPr>
        <w:t>(D)The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180" w:lineRule="exact"/>
        <w:rPr>
          <w:sz w:val="20"/>
          <w:szCs w:val="20"/>
          <w:color w:val="auto"/>
        </w:rPr>
      </w:pPr>
    </w:p>
    <w:p>
      <w:pPr>
        <w:ind w:right="80" w:firstLine="1304"/>
        <w:spacing w:after="0" w:line="233" w:lineRule="auto"/>
        <w:tabs>
          <w:tab w:leader="none" w:pos="183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a Reorganization Event on Restricted Stock</w:t>
      </w:r>
      <w:r>
        <w:rPr>
          <w:rFonts w:ascii="Times New Roman" w:cs="Times New Roman" w:eastAsia="Times New Roman" w:hAnsi="Times New Roman"/>
          <w:sz w:val="22"/>
          <w:szCs w:val="22"/>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either provide for termination or deemed satisfaction of such repurchase or other rights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7"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Events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40" w:firstLine="1944"/>
        <w:spacing w:after="0" w:line="264" w:lineRule="auto"/>
        <w:rPr>
          <w:sz w:val="20"/>
          <w:szCs w:val="20"/>
          <w:color w:val="auto"/>
        </w:rPr>
      </w:pPr>
      <w:r>
        <w:rPr>
          <w:rFonts w:ascii="Times New Roman" w:cs="Times New Roman" w:eastAsia="Times New Roman" w:hAnsi="Times New Roman"/>
          <w:sz w:val="22"/>
          <w:szCs w:val="22"/>
          <w:color w:val="auto"/>
        </w:rPr>
        <w:t>(A)A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mean (unless otherwise provided in an applicable Award agreement) the consummation of any of the following events:</w:t>
      </w:r>
    </w:p>
    <w:p>
      <w:pPr>
        <w:spacing w:after="0" w:line="151" w:lineRule="exact"/>
        <w:rPr>
          <w:sz w:val="20"/>
          <w:szCs w:val="20"/>
          <w:color w:val="auto"/>
        </w:rPr>
      </w:pPr>
    </w:p>
    <w:p>
      <w:pPr>
        <w:ind w:left="1420" w:right="20" w:hanging="764"/>
        <w:spacing w:after="0" w:line="236" w:lineRule="auto"/>
        <w:tabs>
          <w:tab w:leader="none" w:pos="1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by any individual, entity or group (within the meaning of Section 13(d)(3) or Section 14(d)(2) of the Exchange Act), other than the Company or any subsidiary, affiliate (within the meaning of Rule 144 promulgated under the Securities Act) or employee benefit plan of the Company, of beneficial ownership (within the meaning of Rule 13d-3 promulgated under the Exchange Act) of more than 50% of the combined voting power of the then outstanding voting securities of the Company entitled to vote generally in the election of directors (the “</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or</w:t>
      </w:r>
    </w:p>
    <w:p>
      <w:pPr>
        <w:spacing w:after="0" w:line="202" w:lineRule="exact"/>
        <w:rPr>
          <w:rFonts w:ascii="Times New Roman" w:cs="Times New Roman" w:eastAsia="Times New Roman" w:hAnsi="Times New Roman"/>
          <w:sz w:val="22"/>
          <w:szCs w:val="22"/>
          <w:color w:val="auto"/>
        </w:rPr>
      </w:pPr>
    </w:p>
    <w:p>
      <w:pPr>
        <w:ind w:left="1420" w:right="220" w:hanging="764"/>
        <w:spacing w:after="0" w:line="257" w:lineRule="auto"/>
        <w:tabs>
          <w:tab w:leader="none" w:pos="14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reorganization, merger, consolidation or recapitalization of the Company (a “</w:t>
      </w:r>
      <w:r>
        <w:rPr>
          <w:rFonts w:ascii="Times New Roman" w:cs="Times New Roman" w:eastAsia="Times New Roman" w:hAnsi="Times New Roman"/>
          <w:sz w:val="21"/>
          <w:szCs w:val="21"/>
          <w:b w:val="1"/>
          <w:bCs w:val="1"/>
          <w:i w:val="1"/>
          <w:iCs w:val="1"/>
          <w:color w:val="auto"/>
        </w:rPr>
        <w:t>Business Combination</w:t>
      </w:r>
      <w:r>
        <w:rPr>
          <w:rFonts w:ascii="Times New Roman" w:cs="Times New Roman" w:eastAsia="Times New Roman" w:hAnsi="Times New Roman"/>
          <w:sz w:val="21"/>
          <w:szCs w:val="21"/>
          <w:color w:val="auto"/>
        </w:rPr>
        <w:t>”), other than a Business Combination in which more than 50% of the combined voting power of the outstanding voting securities of the surviving or resulting entity immediately following the Business Combination is held by the Persons who, immediately prior to the Business Combination, were the holders of the Voting Securities; or</w:t>
      </w:r>
    </w:p>
    <w:p>
      <w:pPr>
        <w:spacing w:after="0" w:line="186" w:lineRule="exact"/>
        <w:rPr>
          <w:rFonts w:ascii="Times New Roman" w:cs="Times New Roman" w:eastAsia="Times New Roman" w:hAnsi="Times New Roman"/>
          <w:sz w:val="21"/>
          <w:szCs w:val="21"/>
          <w:color w:val="auto"/>
        </w:rPr>
      </w:pPr>
    </w:p>
    <w:p>
      <w:pPr>
        <w:ind w:left="1420" w:right="520" w:hanging="764"/>
        <w:spacing w:after="0" w:line="258" w:lineRule="auto"/>
        <w:tabs>
          <w:tab w:leader="none" w:pos="1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a sale of all or substantially all of the assets of the Company; or</w:t>
      </w:r>
    </w:p>
    <w:p>
      <w:pPr>
        <w:spacing w:after="0" w:line="185" w:lineRule="exact"/>
        <w:rPr>
          <w:rFonts w:ascii="Times New Roman" w:cs="Times New Roman" w:eastAsia="Times New Roman" w:hAnsi="Times New Roman"/>
          <w:sz w:val="22"/>
          <w:szCs w:val="22"/>
          <w:color w:val="auto"/>
        </w:rPr>
      </w:pPr>
    </w:p>
    <w:p>
      <w:pPr>
        <w:ind w:left="1420" w:hanging="764"/>
        <w:spacing w:after="0" w:line="244" w:lineRule="auto"/>
        <w:tabs>
          <w:tab w:leader="none" w:pos="14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24 consecutive months, the Incumbent Directors cease to constitute a majority of the Board; “</w:t>
      </w:r>
      <w:r>
        <w:rPr>
          <w:rFonts w:ascii="Times New Roman" w:cs="Times New Roman" w:eastAsia="Times New Roman" w:hAnsi="Times New Roman"/>
          <w:sz w:val="22"/>
          <w:szCs w:val="22"/>
          <w:b w:val="1"/>
          <w:bCs w:val="1"/>
          <w:i w:val="1"/>
          <w:iCs w:val="1"/>
          <w:color w:val="auto"/>
        </w:rPr>
        <w:t>Incumbent Directors</w:t>
      </w:r>
      <w:r>
        <w:rPr>
          <w:rFonts w:ascii="Times New Roman" w:cs="Times New Roman" w:eastAsia="Times New Roman" w:hAnsi="Times New Roman"/>
          <w:sz w:val="22"/>
          <w:szCs w:val="22"/>
          <w:color w:val="auto"/>
        </w:rPr>
        <w:t>” means individuals who were members of the Board at the beginning of such period or individuals whose election or nomination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420" w:right="320"/>
        <w:spacing w:after="0" w:line="244" w:lineRule="auto"/>
        <w:rPr>
          <w:sz w:val="20"/>
          <w:szCs w:val="20"/>
          <w:color w:val="auto"/>
        </w:rPr>
      </w:pPr>
      <w:r>
        <w:rPr>
          <w:rFonts w:ascii="Times New Roman" w:cs="Times New Roman" w:eastAsia="Times New Roman" w:hAnsi="Times New Roman"/>
          <w:sz w:val="22"/>
          <w:szCs w:val="22"/>
          <w:color w:val="auto"/>
        </w:rPr>
        <w:t>election to the Board by the stockholders was approved by a vote of at least a majority of the then Incumbent Directors (but excluding any individual whose initial election or nomination is in connection with an actual or threatened proxy contest relating to the election of directors).</w:t>
      </w:r>
    </w:p>
    <w:p>
      <w:pPr>
        <w:spacing w:after="0" w:line="20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78" w:lineRule="exact"/>
        <w:rPr>
          <w:sz w:val="20"/>
          <w:szCs w:val="20"/>
          <w:color w:val="auto"/>
        </w:rPr>
      </w:pPr>
    </w:p>
    <w:p>
      <w:pPr>
        <w:ind w:right="40" w:firstLine="1944"/>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shall be defined as that term is defined in the Participant’s offer letter or other applicable employment agreement; or, if there is no such definition, “Cause” means, unless otherwise provided in the applicable Award agreement: (i) the commission of any act by the Participant constituting financial dishonesty against the Company or its affiliates (which act would be chargeable as a crime under applicable law); (ii) the Participant’s engaging in any other act of dishonesty, fraud, intentional misrepresentation, moral turpitude, illegality or harassment that would (a) materially adversely affect the business or the reputation of the Company or any of its affiliates with their respective current or prospective customers, suppliers, lenders or other third parties with whom such entity does or might do business or (b) expose the Company or any of its affiliates to a risk of civil or criminal legal damages, liabilities or penalties; (iii) the repeated failure by the Participant to follow the directives of the Chief Executive Officer of the Company or any of its affiliates or the Board; or (iv) any material misconduct, violation of the Company’s or affiliates’ policies, or willful and deliberate non-performance of duty by the Participant in connection with the business affairs of the Company or its affiliate.</w:t>
      </w:r>
    </w:p>
    <w:p>
      <w:pPr>
        <w:spacing w:after="0" w:line="182" w:lineRule="exact"/>
        <w:rPr>
          <w:sz w:val="20"/>
          <w:szCs w:val="20"/>
          <w:color w:val="auto"/>
        </w:rPr>
      </w:pPr>
    </w:p>
    <w:p>
      <w:pPr>
        <w:ind w:left="1840" w:hanging="536"/>
        <w:spacing w:after="0"/>
        <w:tabs>
          <w:tab w:leader="none" w:pos="18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a Change In Control on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60" w:firstLine="1944"/>
        <w:spacing w:after="0" w:line="239" w:lineRule="auto"/>
        <w:rPr>
          <w:sz w:val="20"/>
          <w:szCs w:val="20"/>
          <w:color w:val="auto"/>
        </w:rPr>
      </w:pPr>
      <w:r>
        <w:rPr>
          <w:rFonts w:ascii="Times New Roman" w:cs="Times New Roman" w:eastAsia="Times New Roman" w:hAnsi="Times New Roman"/>
          <w:sz w:val="22"/>
          <w:szCs w:val="22"/>
          <w:color w:val="auto"/>
        </w:rPr>
        <w:t>(A)For Awards granted to non-employee directors, unless otherwise provided in the applicable Award agreement, upon a Change in Control all such outstanding Awards that may be exercised shall become fully exercisable, all restrictions with respect to such outstanding Awards shall lapse and become vested and non-forfeitable, and any specified performance goals with respect to outstanding Awards shall be deemed to be satisfied at target.</w:t>
      </w:r>
    </w:p>
    <w:p>
      <w:pPr>
        <w:spacing w:after="0" w:line="180" w:lineRule="exact"/>
        <w:rPr>
          <w:sz w:val="20"/>
          <w:szCs w:val="20"/>
          <w:color w:val="auto"/>
        </w:rPr>
      </w:pPr>
    </w:p>
    <w:p>
      <w:pPr>
        <w:jc w:val="both"/>
        <w:ind w:right="40" w:firstLine="1944"/>
        <w:spacing w:after="0" w:line="244" w:lineRule="auto"/>
        <w:rPr>
          <w:sz w:val="20"/>
          <w:szCs w:val="20"/>
          <w:color w:val="auto"/>
        </w:rPr>
      </w:pPr>
      <w:r>
        <w:rPr>
          <w:rFonts w:ascii="Times New Roman" w:cs="Times New Roman" w:eastAsia="Times New Roman" w:hAnsi="Times New Roman"/>
          <w:sz w:val="22"/>
          <w:szCs w:val="22"/>
          <w:color w:val="auto"/>
        </w:rPr>
        <w:t>(B)For Awards granted to Participants other than non-employee directors, unless otherwise provided in the applicable Award agreement, either of the following provisions shall apply, depending on whether, and the extent to which, such Awards are assumed, converted or replaced by the resulting entity in a Change in Control:</w:t>
      </w:r>
    </w:p>
    <w:p>
      <w:pPr>
        <w:spacing w:after="0" w:line="173" w:lineRule="exact"/>
        <w:rPr>
          <w:sz w:val="20"/>
          <w:szCs w:val="20"/>
          <w:color w:val="auto"/>
        </w:rPr>
      </w:pPr>
    </w:p>
    <w:p>
      <w:pPr>
        <w:ind w:left="860" w:hanging="749"/>
        <w:spacing w:after="0" w:line="234" w:lineRule="auto"/>
        <w:tabs>
          <w:tab w:leader="none" w:pos="8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Awards are not assumed, converted or replaced by the resulting entity in the Change in Control, then upon the Change in Control such outstanding Awards that may be exercised shall become fully exercisable, all restrictions with respect to such outstanding Awards, other than for Performance Awards, shall lapse and become vested and non-forfeitable, and for any outstanding Performance Awards the target payout opportunities attainable under such Awards shall be deemed to have been fully earned as of the Change in Control based upon the greater of (A) an assumed achievement of all relevant performance goals at the “target” level or (B) the actual level of achievement of all relevant performance goals against target as of the Company’s fiscal quarter end preceding the Change in Control and the Award shall become vested pro rata based on the portion of the applicable performance period completed through the date of the Change in Control;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0" w:hanging="749"/>
        <w:spacing w:after="0" w:line="233" w:lineRule="auto"/>
        <w:tabs>
          <w:tab w:leader="none" w:pos="86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Awards are assumed, converted or replaced by the resulting entity in the Change in Control, if, within two years after the date of the Change in Control, the Participant has a separation from service with the Company or the resulting entity either (1) by the Company other than for Cause or (2) by the Participant for “good reason” (as defined in the applicable Award agreement), then such outstanding Awards that may be exercised shall become fully exercisable, all restrictions with respect to such outstanding Awards, other than for Performance Awards, shall lapse and become vested and non-forfeitable, and for any outstanding Performance Awards the target payout opportunities attainable under such Awards shall be deemed to have been fully earned as of the separation from service based upon the greater of (A) an assumed achievement of all relevant performance goals at the “target” level or (B) the actual level of achievement of all relevant performance goals against target as of the Company’s fiscal quarter end preceding the Change in Control and the Award shall become vested pro rata based on the portion of the applicable performance period completed through the date of the separation from service.</w:t>
      </w:r>
    </w:p>
    <w:p>
      <w:pPr>
        <w:spacing w:after="0" w:line="18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 Applicable to Awards</w:t>
      </w:r>
    </w:p>
    <w:p>
      <w:pPr>
        <w:spacing w:after="0" w:line="206" w:lineRule="exact"/>
        <w:rPr>
          <w:rFonts w:ascii="Times New Roman" w:cs="Times New Roman" w:eastAsia="Times New Roman" w:hAnsi="Times New Roman"/>
          <w:sz w:val="22"/>
          <w:szCs w:val="22"/>
          <w:color w:val="auto"/>
        </w:rPr>
      </w:pPr>
    </w:p>
    <w:p>
      <w:pPr>
        <w:ind w:firstLine="656"/>
        <w:spacing w:after="0" w:line="233" w:lineRule="auto"/>
        <w:tabs>
          <w:tab w:leader="none" w:pos="917"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Awards</w:t>
      </w:r>
      <w:r>
        <w:rPr>
          <w:rFonts w:ascii="Times New Roman" w:cs="Times New Roman" w:eastAsia="Times New Roman" w:hAnsi="Times New Roman"/>
          <w:sz w:val="22"/>
          <w:szCs w:val="22"/>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82" w:lineRule="exact"/>
        <w:rPr>
          <w:rFonts w:ascii="Times New Roman" w:cs="Times New Roman" w:eastAsia="Times New Roman" w:hAnsi="Times New Roman"/>
          <w:sz w:val="22"/>
          <w:szCs w:val="22"/>
          <w:color w:val="auto"/>
        </w:rPr>
      </w:pPr>
    </w:p>
    <w:p>
      <w:pPr>
        <w:ind w:right="460" w:firstLine="656"/>
        <w:spacing w:after="0" w:line="258" w:lineRule="auto"/>
        <w:tabs>
          <w:tab w:leader="none" w:pos="917"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w:t>
      </w:r>
      <w:r>
        <w:rPr>
          <w:rFonts w:ascii="Times New Roman" w:cs="Times New Roman" w:eastAsia="Times New Roman" w:hAnsi="Times New Roman"/>
          <w:sz w:val="22"/>
          <w:szCs w:val="22"/>
          <w:color w:val="auto"/>
        </w:rPr>
        <w:t>. Each Award shall be evidenced in such form (written, electronic or otherwise) as the Board shall determine. Each Award may contain terms and conditions in addition to those set forth in the Plan.</w:t>
      </w:r>
    </w:p>
    <w:p>
      <w:pPr>
        <w:spacing w:after="0" w:line="158" w:lineRule="exact"/>
        <w:rPr>
          <w:rFonts w:ascii="Times New Roman" w:cs="Times New Roman" w:eastAsia="Times New Roman" w:hAnsi="Times New Roman"/>
          <w:sz w:val="22"/>
          <w:szCs w:val="22"/>
          <w:color w:val="auto"/>
        </w:rPr>
      </w:pPr>
    </w:p>
    <w:p>
      <w:pPr>
        <w:ind w:right="80" w:firstLine="656"/>
        <w:spacing w:after="0" w:line="235" w:lineRule="auto"/>
        <w:tabs>
          <w:tab w:leader="none" w:pos="917"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Status</w:t>
      </w:r>
      <w:r>
        <w:rPr>
          <w:rFonts w:ascii="Times New Roman" w:cs="Times New Roman" w:eastAsia="Times New Roman" w:hAnsi="Times New Roman"/>
          <w:sz w:val="22"/>
          <w:szCs w:val="22"/>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cs="Times New Roman" w:eastAsia="Times New Roman" w:hAnsi="Times New Roman"/>
          <w:sz w:val="22"/>
          <w:szCs w:val="22"/>
          <w:b w:val="1"/>
          <w:bCs w:val="1"/>
          <w:i w:val="1"/>
          <w:iCs w:val="1"/>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Beneficiary</w:t>
      </w:r>
      <w:r>
        <w:rPr>
          <w:rFonts w:ascii="Times New Roman" w:cs="Times New Roman" w:eastAsia="Times New Roman" w:hAnsi="Times New Roman"/>
          <w:sz w:val="22"/>
          <w:szCs w:val="22"/>
          <w:color w:val="auto"/>
        </w:rPr>
        <w:t>” means (i) the beneficiary designated, in a manner determined by the Board, by a Participant to receive amounts due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exercise rights of the Participant in the event of the Participant’s death or (ii) in the absence of an effective designation by a Participant, the Participant’s estate.</w:t>
      </w:r>
    </w:p>
    <w:p>
      <w:pPr>
        <w:spacing w:after="0" w:line="183" w:lineRule="exact"/>
        <w:rPr>
          <w:rFonts w:ascii="Times New Roman" w:cs="Times New Roman" w:eastAsia="Times New Roman" w:hAnsi="Times New Roman"/>
          <w:sz w:val="22"/>
          <w:szCs w:val="22"/>
          <w:color w:val="auto"/>
        </w:rPr>
      </w:pPr>
    </w:p>
    <w:p>
      <w:pPr>
        <w:jc w:val="both"/>
        <w:ind w:right="140" w:firstLine="656"/>
        <w:spacing w:after="0" w:line="239" w:lineRule="auto"/>
        <w:tabs>
          <w:tab w:leader="none" w:pos="917"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190" w:lineRule="exact"/>
        <w:rPr>
          <w:sz w:val="20"/>
          <w:szCs w:val="20"/>
          <w:color w:val="auto"/>
        </w:rPr>
      </w:pPr>
    </w:p>
    <w:p>
      <w:pPr>
        <w:ind w:right="40" w:firstLine="656"/>
        <w:spacing w:after="0" w:line="236" w:lineRule="auto"/>
        <w:tabs>
          <w:tab w:leader="none" w:pos="91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Award</w:t>
      </w:r>
      <w:r>
        <w:rPr>
          <w:rFonts w:ascii="Times New Roman" w:cs="Times New Roman" w:eastAsia="Times New Roman" w:hAnsi="Times New Roman"/>
          <w:sz w:val="22"/>
          <w:szCs w:val="22"/>
          <w:color w:val="auto"/>
        </w:rPr>
        <w:t>. Except as otherwise provided in Section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181" w:lineRule="exact"/>
        <w:rPr>
          <w:rFonts w:ascii="Times New Roman" w:cs="Times New Roman" w:eastAsia="Times New Roman" w:hAnsi="Times New Roman"/>
          <w:sz w:val="22"/>
          <w:szCs w:val="22"/>
          <w:color w:val="auto"/>
        </w:rPr>
      </w:pPr>
    </w:p>
    <w:p>
      <w:pPr>
        <w:ind w:firstLine="656"/>
        <w:spacing w:after="0" w:line="235" w:lineRule="auto"/>
        <w:tabs>
          <w:tab w:leader="none" w:pos="91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on Delivery of Stock</w:t>
      </w:r>
      <w:r>
        <w:rPr>
          <w:rFonts w:ascii="Times New Roman" w:cs="Times New Roman" w:eastAsia="Times New Roman" w:hAnsi="Times New Roman"/>
          <w:sz w:val="22"/>
          <w:szCs w:val="22"/>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3" w:lineRule="exact"/>
        <w:rPr>
          <w:rFonts w:ascii="Times New Roman" w:cs="Times New Roman" w:eastAsia="Times New Roman" w:hAnsi="Times New Roman"/>
          <w:sz w:val="22"/>
          <w:szCs w:val="22"/>
          <w:color w:val="auto"/>
        </w:rPr>
      </w:pPr>
    </w:p>
    <w:p>
      <w:pPr>
        <w:ind w:right="20" w:firstLine="656"/>
        <w:spacing w:after="0" w:line="239" w:lineRule="auto"/>
        <w:tabs>
          <w:tab w:leader="none" w:pos="91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Vesting</w:t>
      </w:r>
      <w:r>
        <w:rPr>
          <w:rFonts w:ascii="Times New Roman" w:cs="Times New Roman" w:eastAsia="Times New Roman" w:hAnsi="Times New Roman"/>
          <w:sz w:val="22"/>
          <w:szCs w:val="22"/>
          <w:color w:val="auto"/>
        </w:rPr>
        <w:t>. Subject to Section 11(h), no Award shall vest earlier than the first anniversary of its date of grant, unless such Award is granted in lieu of salary, bonus or other compensation otherwise earned by or payable to the Participant. The foregoing sentence shall not apply to Awards granted, in the aggregate, for up to 5% of the maximum number of authorized shares set forth in Section 4(a).</w:t>
      </w:r>
    </w:p>
    <w:p>
      <w:pPr>
        <w:spacing w:after="0" w:line="180" w:lineRule="exact"/>
        <w:rPr>
          <w:rFonts w:ascii="Times New Roman" w:cs="Times New Roman" w:eastAsia="Times New Roman" w:hAnsi="Times New Roman"/>
          <w:sz w:val="22"/>
          <w:szCs w:val="22"/>
          <w:color w:val="auto"/>
        </w:rPr>
      </w:pPr>
    </w:p>
    <w:p>
      <w:pPr>
        <w:ind w:right="200" w:firstLine="656"/>
        <w:spacing w:after="0" w:line="258" w:lineRule="auto"/>
        <w:tabs>
          <w:tab w:leader="none" w:pos="91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w:t>
      </w:r>
      <w:r>
        <w:rPr>
          <w:rFonts w:ascii="Times New Roman" w:cs="Times New Roman" w:eastAsia="Times New Roman" w:hAnsi="Times New Roman"/>
          <w:sz w:val="22"/>
          <w:szCs w:val="22"/>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rFonts w:ascii="Times New Roman" w:cs="Times New Roman" w:eastAsia="Times New Roman" w:hAnsi="Times New Roman"/>
          <w:sz w:val="22"/>
          <w:szCs w:val="22"/>
          <w:color w:val="auto"/>
        </w:rPr>
      </w:pPr>
    </w:p>
    <w:p>
      <w:pPr>
        <w:ind w:right="200" w:firstLine="656"/>
        <w:spacing w:after="0" w:line="238" w:lineRule="auto"/>
        <w:tabs>
          <w:tab w:leader="none" w:pos="91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 or Other Status</w:t>
      </w:r>
      <w:r>
        <w:rPr>
          <w:rFonts w:ascii="Times New Roman" w:cs="Times New Roman" w:eastAsia="Times New Roman" w:hAnsi="Times New Roman"/>
          <w:sz w:val="22"/>
          <w:szCs w:val="22"/>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6" w:lineRule="exact"/>
        <w:rPr>
          <w:rFonts w:ascii="Times New Roman" w:cs="Times New Roman" w:eastAsia="Times New Roman" w:hAnsi="Times New Roman"/>
          <w:sz w:val="22"/>
          <w:szCs w:val="22"/>
          <w:color w:val="auto"/>
        </w:rPr>
      </w:pPr>
    </w:p>
    <w:p>
      <w:pPr>
        <w:ind w:right="360" w:firstLine="656"/>
        <w:spacing w:after="0" w:line="244" w:lineRule="auto"/>
        <w:tabs>
          <w:tab w:leader="none" w:pos="91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w:t>
      </w:r>
    </w:p>
    <w:p>
      <w:pPr>
        <w:spacing w:after="0" w:line="173" w:lineRule="exact"/>
        <w:rPr>
          <w:rFonts w:ascii="Times New Roman" w:cs="Times New Roman" w:eastAsia="Times New Roman" w:hAnsi="Times New Roman"/>
          <w:sz w:val="22"/>
          <w:szCs w:val="22"/>
          <w:color w:val="auto"/>
        </w:rPr>
      </w:pPr>
    </w:p>
    <w:p>
      <w:pPr>
        <w:ind w:right="20" w:firstLine="656"/>
        <w:spacing w:after="0" w:line="234" w:lineRule="auto"/>
        <w:tabs>
          <w:tab w:leader="none" w:pos="91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In accepting an Award under the Plan, the Participant agrees to be bound by any clawback policy that the Company has in effect or may adopt in the future, including without limitation Cue Biopharma, Inc.’s Dodd-Frank Compensation Recovery Policy adopted in accordance with stock exchange listing requirements (or any successor policy). The Participant agrees that in the event it is determined in accordance with any such policy that any Award granted under the Plan (including any dividends, Unvested Dividends or Dividend Equivalents paid with respect thereto), any shares of Common Stock issued upon exercise or settlement thereof (including securities or other property received therefor), or any other proceeds from the exercise or settlement of such Award or the sale of such shares of Common Stock or any other compensation subject to such policy must be forfeited or reimbursed to the Company, the Participant will promptly take any action necessary to effectuate such forfeiture and/or reimbursement as determined by the Company.</w:t>
      </w:r>
    </w:p>
    <w:p>
      <w:pPr>
        <w:spacing w:after="0" w:line="183" w:lineRule="exact"/>
        <w:rPr>
          <w:rFonts w:ascii="Times New Roman" w:cs="Times New Roman" w:eastAsia="Times New Roman" w:hAnsi="Times New Roman"/>
          <w:sz w:val="22"/>
          <w:szCs w:val="22"/>
          <w:color w:val="auto"/>
        </w:rPr>
      </w:pPr>
    </w:p>
    <w:p>
      <w:pPr>
        <w:ind w:right="120" w:firstLine="656"/>
        <w:spacing w:after="0" w:line="244" w:lineRule="auto"/>
        <w:tabs>
          <w:tab w:leader="none" w:pos="91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Term of Plan</w:t>
      </w:r>
      <w:r>
        <w:rPr>
          <w:rFonts w:ascii="Times New Roman" w:cs="Times New Roman" w:eastAsia="Times New Roman" w:hAnsi="Times New Roman"/>
          <w:sz w:val="22"/>
          <w:szCs w:val="22"/>
          <w:color w:val="auto"/>
        </w:rPr>
        <w:t>. The Plan shall become effective on the date the Plan is approved by the Company’s stockholders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No Awards shall be granted under the Plan after the expiration of 10 years from the Effective Date, but Awards previously granted may extend beyond that date.</w:t>
      </w:r>
    </w:p>
    <w:p>
      <w:pPr>
        <w:spacing w:after="0" w:line="173" w:lineRule="exact"/>
        <w:rPr>
          <w:rFonts w:ascii="Times New Roman" w:cs="Times New Roman" w:eastAsia="Times New Roman" w:hAnsi="Times New Roman"/>
          <w:sz w:val="22"/>
          <w:szCs w:val="22"/>
          <w:color w:val="auto"/>
        </w:rPr>
      </w:pPr>
    </w:p>
    <w:p>
      <w:pPr>
        <w:ind w:firstLine="656"/>
        <w:spacing w:after="0" w:line="244" w:lineRule="auto"/>
        <w:tabs>
          <w:tab w:leader="none" w:pos="91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of Plan</w:t>
      </w:r>
      <w:r>
        <w:rPr>
          <w:rFonts w:ascii="Times New Roman" w:cs="Times New Roman" w:eastAsia="Times New Roman" w:hAnsi="Times New Roman"/>
          <w:sz w:val="21"/>
          <w:szCs w:val="21"/>
          <w:color w:val="auto"/>
        </w:rPr>
        <w:t>.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will be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Section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12(e)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73" w:lineRule="exact"/>
        <w:rPr>
          <w:sz w:val="20"/>
          <w:szCs w:val="20"/>
          <w:color w:val="auto"/>
        </w:rPr>
      </w:pPr>
    </w:p>
    <w:p>
      <w:pPr>
        <w:ind w:firstLine="656"/>
        <w:spacing w:after="0" w:line="235" w:lineRule="auto"/>
        <w:tabs>
          <w:tab w:leader="none" w:pos="91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Sub-Plans (including for Grants to non-U.S. Employees)</w:t>
      </w:r>
      <w:r>
        <w:rPr>
          <w:rFonts w:ascii="Times New Roman" w:cs="Times New Roman" w:eastAsia="Times New Roman" w:hAnsi="Times New Roman"/>
          <w:sz w:val="22"/>
          <w:szCs w:val="22"/>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78" w:lineRule="exact"/>
        <w:rPr>
          <w:rFonts w:ascii="Times New Roman" w:cs="Times New Roman" w:eastAsia="Times New Roman" w:hAnsi="Times New Roman"/>
          <w:sz w:val="22"/>
          <w:szCs w:val="22"/>
          <w:color w:val="auto"/>
        </w:rPr>
      </w:pPr>
    </w:p>
    <w:p>
      <w:pPr>
        <w:ind w:right="40" w:firstLine="656"/>
        <w:spacing w:after="0" w:line="249" w:lineRule="auto"/>
        <w:tabs>
          <w:tab w:leader="none" w:pos="91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If and to the extent (i) any portion of any payment, compensation or other benefit provided to a Participant in connection with such Participant’s employment termination constitutes “nonqualified deferred compensation” within the meaning of Section 409A and (ii) the Participant is a specified employee as defined in Section 409A(a)</w:t>
      </w:r>
    </w:p>
    <w:p>
      <w:pPr>
        <w:spacing w:after="0" w:line="1" w:lineRule="exact"/>
        <w:rPr>
          <w:rFonts w:ascii="Times New Roman" w:cs="Times New Roman" w:eastAsia="Times New Roman" w:hAnsi="Times New Roman"/>
          <w:sz w:val="21"/>
          <w:szCs w:val="21"/>
          <w:color w:val="auto"/>
        </w:rPr>
      </w:pPr>
    </w:p>
    <w:p>
      <w:pPr>
        <w:ind w:right="2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(2)(B)(i) of the Code, in each case as determined by the Company in accordance with its procedures, by which determinations the Participant (through accepting the Award) agrees that to be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2"/>
          <w:szCs w:val="22"/>
          <w:b w:val="1"/>
          <w:bCs w:val="1"/>
          <w:i w:val="1"/>
          <w:iCs w:val="1"/>
          <w:color w:val="auto"/>
        </w:rPr>
        <w:t>New Payment Date</w:t>
      </w:r>
      <w:r>
        <w:rPr>
          <w:rFonts w:ascii="Times New Roman" w:cs="Times New Roman" w:eastAsia="Times New Roman" w:hAnsi="Times New Roman"/>
          <w:sz w:val="22"/>
          <w:szCs w:val="22"/>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1"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73" w:lineRule="exact"/>
        <w:rPr>
          <w:sz w:val="20"/>
          <w:szCs w:val="20"/>
          <w:color w:val="auto"/>
        </w:rPr>
      </w:pPr>
    </w:p>
    <w:p>
      <w:pPr>
        <w:ind w:firstLine="656"/>
        <w:spacing w:after="0" w:line="234" w:lineRule="auto"/>
        <w:tabs>
          <w:tab w:leader="none" w:pos="9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Liability</w:t>
      </w:r>
      <w:r>
        <w:rPr>
          <w:rFonts w:ascii="Times New Roman" w:cs="Times New Roman" w:eastAsia="Times New Roman" w:hAnsi="Times New Roman"/>
          <w:sz w:val="22"/>
          <w:szCs w:val="22"/>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the capacity of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3" w:lineRule="exact"/>
        <w:rPr>
          <w:rFonts w:ascii="Times New Roman" w:cs="Times New Roman" w:eastAsia="Times New Roman" w:hAnsi="Times New Roman"/>
          <w:sz w:val="22"/>
          <w:szCs w:val="22"/>
          <w:color w:val="auto"/>
        </w:rPr>
      </w:pPr>
    </w:p>
    <w:p>
      <w:pPr>
        <w:ind w:right="100" w:firstLine="656"/>
        <w:spacing w:after="0" w:line="244" w:lineRule="auto"/>
        <w:tabs>
          <w:tab w:leader="none" w:pos="9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57720" cy="8379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83794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8354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835406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1318895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6"/>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3"/>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3"/>
    </w:lvl>
  </w:abstractNum>
  <w:abstractNum w:abstractNumId="13">
    <w:nsid w:val="4B588F54"/>
    <w:multiLevelType w:val="hybridMultilevel"/>
    <w:lvl w:ilvl="0">
      <w:lvlJc w:val="left"/>
      <w:lvlText w:val="%1."/>
      <w:numFmt w:val="upperLetter"/>
      <w:start w:val="16"/>
    </w:lvl>
    <w:lvl w:ilvl="1">
      <w:lvlJc w:val="left"/>
      <w:lvlText w:val="•"/>
      <w:numFmt w:val="bullet"/>
      <w:start w:val="1"/>
    </w:lvl>
  </w:abstractNum>
  <w:abstractNum w:abstractNumId="14">
    <w:nsid w:val="542289EC"/>
    <w:multiLevelType w:val="hybridMultilevel"/>
    <w:lvl w:ilvl="0">
      <w:lvlJc w:val="left"/>
      <w:lvlText w:val="%1."/>
      <w:numFmt w:val="upperLetter"/>
      <w:start w:val="1"/>
    </w:lvl>
    <w:lvl w:ilvl="1">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5"/>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2"/>
    </w:lvl>
  </w:abstractNum>
  <w:abstractNum w:abstractNumId="33">
    <w:nsid w:val="275AC794"/>
    <w:multiLevelType w:val="hybridMultilevel"/>
    <w:lvl w:ilvl="0">
      <w:lvlJc w:val="left"/>
      <w:lvlText w:val="(%1)"/>
      <w:numFmt w:val="decimal"/>
      <w:start w:val="4"/>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lowerRoman"/>
      <w:start w:val="10"/>
    </w:lvl>
  </w:abstractNum>
  <w:abstractNum w:abstractNumId="43">
    <w:nsid w:val="10233C99"/>
    <w:multiLevelType w:val="hybridMultilevel"/>
    <w:lvl w:ilvl="0">
      <w:lvlJc w:val="left"/>
      <w:lvlText w:val="(%1)"/>
      <w:numFmt w:val="lowerRoman"/>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2"/>
    </w:lvl>
  </w:abstractNum>
  <w:abstractNum w:abstractNumId="46">
    <w:nsid w:val="7E0C57B1"/>
    <w:multiLevelType w:val="hybridMultilevel"/>
    <w:lvl w:ilvl="0">
      <w:lvlJc w:val="left"/>
      <w:lvlText w:val="%1."/>
      <w:numFmt w:val="decimal"/>
      <w:start w:val="3"/>
    </w:lvl>
    <w:lvl w:ilvl="1">
      <w:lvlJc w:val="left"/>
      <w:lvlText w:val="(%2)"/>
      <w:numFmt w:val="lowerLetter"/>
      <w:start w:val="1"/>
    </w:lvl>
  </w:abstractNum>
  <w:abstractNum w:abstractNumId="47">
    <w:nsid w:val="77AE35E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8">
    <w:nsid w:val="579BE4F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9">
    <w:nsid w:val="310C50B3"/>
    <w:multiLevelType w:val="hybridMultilevel"/>
    <w:lvl w:ilvl="0">
      <w:lvlJc w:val="left"/>
      <w:lvlText w:val="(%1)"/>
      <w:numFmt w:val="decimal"/>
      <w:start w:val="2"/>
    </w:lvl>
  </w:abstractNum>
  <w:abstractNum w:abstractNumId="50">
    <w:nsid w:val="5FF87E05"/>
    <w:multiLevelType w:val="hybridMultilevel"/>
    <w:lvl w:ilvl="0">
      <w:lvlJc w:val="left"/>
      <w:lvlText w:val="(%1)"/>
      <w:numFmt w:val="lowerLetter"/>
      <w:start w:val="2"/>
    </w:lvl>
  </w:abstractNum>
  <w:abstractNum w:abstractNumId="51">
    <w:nsid w:val="2F305DE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25A70BF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3">
    <w:nsid w:val="1DBABF00"/>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54">
    <w:nsid w:val="4AD084E9"/>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4"/>
    </w:lvl>
  </w:abstractNum>
  <w:abstractNum w:abstractNumId="55">
    <w:nsid w:val="1F48EA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6">
    <w:nsid w:val="1381823A"/>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57">
    <w:nsid w:val="5DB70AE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8">
    <w:nsid w:val="100F8FC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9">
    <w:nsid w:val="6590700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60">
    <w:nsid w:val="15014ACB"/>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61">
    <w:nsid w:val="5F5E7FD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62">
    <w:nsid w:val="98A3148"/>
    <w:multiLevelType w:val="hybridMultilevel"/>
    <w:lvl w:ilvl="0">
      <w:lvlJc w:val="left"/>
      <w:lvlText w:val="(%1)"/>
      <w:numFmt w:val="lowerRoman"/>
      <w:start w:val="2"/>
    </w:lvl>
    <w:lvl w:ilvl="1">
      <w:lvlJc w:val="left"/>
      <w:lvlText w:val="%2"/>
      <w:numFmt w:val="lowerLetter"/>
      <w:start w:val="1"/>
    </w:lvl>
  </w:abstractNum>
  <w:abstractNum w:abstractNumId="63">
    <w:nsid w:val="799D0247"/>
    <w:multiLevelType w:val="hybridMultilevel"/>
    <w:lvl w:ilvl="0">
      <w:lvlJc w:val="left"/>
      <w:lvlText w:val="(%1)"/>
      <w:numFmt w:val="lowerRoman"/>
      <w:start w:val="4"/>
    </w:lvl>
    <w:lvl w:ilvl="1">
      <w:lvlJc w:val="left"/>
      <w:lvlText w:val="(%2)"/>
      <w:numFmt w:val="lowerLetter"/>
      <w:start w:val="3"/>
    </w:lvl>
  </w:abstractNum>
  <w:abstractNum w:abstractNumId="64">
    <w:nsid w:val="6B9476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lowerRoman"/>
      <w:start w:val="5"/>
    </w:lvl>
  </w:abstractNum>
  <w:abstractNum w:abstractNumId="67">
    <w:nsid w:val="1EBA5D23"/>
    <w:multiLevelType w:val="hybridMultilevel"/>
    <w:lvl w:ilvl="0">
      <w:lvlJc w:val="left"/>
      <w:lvlText w:val="%1"/>
      <w:numFmt w:val="lowerLetter"/>
      <w:start w:val="1"/>
    </w:lvl>
    <w:lvl w:ilvl="1">
      <w:lvlJc w:val="left"/>
      <w:lvlText w:val="(%2)"/>
      <w:numFmt w:val="decimal"/>
      <w:start w:val="3"/>
    </w:lvl>
  </w:abstractNum>
  <w:abstractNum w:abstractNumId="68">
    <w:nsid w:val="661E3F1E"/>
    <w:multiLevelType w:val="hybridMultilevel"/>
    <w:lvl w:ilvl="0">
      <w:lvlJc w:val="left"/>
      <w:lvlText w:val="(%1)"/>
      <w:numFmt w:val="lowerLetter"/>
      <w:start w:val="3"/>
    </w:lvl>
    <w:lvl w:ilvl="1">
      <w:lvlJc w:val="left"/>
      <w:lvlText w:val="(%2)"/>
      <w:numFmt w:val="decimal"/>
      <w:start w:val="1"/>
    </w:lvl>
  </w:abstractNum>
  <w:abstractNum w:abstractNumId="69">
    <w:nsid w:val="5DC79EA8"/>
    <w:multiLevelType w:val="hybridMultilevel"/>
    <w:lvl w:ilvl="0">
      <w:lvlJc w:val="left"/>
      <w:lvlText w:val="(%1)"/>
      <w:numFmt w:val="lowerRoman"/>
      <w:start w:val="1"/>
    </w:lvl>
  </w:abstractNum>
  <w:abstractNum w:abstractNumId="70">
    <w:nsid w:val="540A471C"/>
    <w:multiLevelType w:val="hybridMultilevel"/>
    <w:lvl w:ilvl="0">
      <w:lvlJc w:val="left"/>
      <w:lvlText w:val="(%1)"/>
      <w:numFmt w:val="decimal"/>
      <w:start w:val="2"/>
    </w:lvl>
  </w:abstractNum>
  <w:abstractNum w:abstractNumId="71">
    <w:nsid w:val="7BD3EE7B"/>
    <w:multiLevelType w:val="hybridMultilevel"/>
    <w:lvl w:ilvl="0">
      <w:lvlJc w:val="left"/>
      <w:lvlText w:val="(%1)"/>
      <w:numFmt w:val="lowerRoman"/>
      <w:start w:val="1"/>
    </w:lvl>
  </w:abstractNum>
  <w:abstractNum w:abstractNumId="72">
    <w:nsid w:val="51D9C564"/>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73">
    <w:nsid w:val="613EFDC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74">
    <w:nsid w:val="BF72B14"/>
    <w:multiLevelType w:val="hybridMultilevel"/>
    <w:lvl w:ilvl="0">
      <w:lvlJc w:val="left"/>
      <w:lvlText w:val="(%1)"/>
      <w:numFmt w:val="lowerLetter"/>
      <w:start w:val="5"/>
    </w:lvl>
  </w:abstractNum>
  <w:abstractNum w:abstractNumId="75">
    <w:nsid w:val="11447B73"/>
    <w:multiLevelType w:val="hybridMultilevel"/>
    <w:lvl w:ilvl="0">
      <w:lvlJc w:val="left"/>
      <w:lvlText w:val="%1."/>
      <w:numFmt w:val="decimal"/>
      <w:start w:val="12"/>
    </w:lvl>
    <w:lvl w:ilvl="1">
      <w:lvlJc w:val="left"/>
      <w:lvlText w:val="(%2)"/>
      <w:numFmt w:val="lowerLetter"/>
      <w:start w:val="1"/>
    </w:lvl>
  </w:abstractNum>
  <w:abstractNum w:abstractNumId="76">
    <w:nsid w:val="42963E5A"/>
    <w:multiLevelType w:val="hybridMultilevel"/>
    <w:lvl w:ilvl="0">
      <w:lvlJc w:val="left"/>
      <w:lvlText w:val="(%1)"/>
      <w:numFmt w:val="lowerLetter"/>
      <w:start w:val="6"/>
    </w:lvl>
  </w:abstractNum>
  <w:abstractNum w:abstractNumId="77">
    <w:nsid w:val="A0382C5"/>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2025-04-14T15:10:44Z</dcterms:created>
  <dcterms:modified xsi:type="dcterms:W3CDTF">2025-04-14T15:10:44Z</dcterms:modified>
</cp:coreProperties>
</file>