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100852.xml.htm"/>
      <w:bookmarkStart w:id="1" w:name="ksform408172026_1008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Meluzio Michael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Prin.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54,589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1,519</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30.35</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48,961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13,647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represents shares sold by the Reporting Person to cover tax withholding obligations in connection with the vesting and settlement of restricted stock units. The sales were to satisfy tax withholding obligations to be funded by a "sell-to-cover" transaction and do not represent discretionary transactions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as part of block trades for multiple security holders of the Issuer at prices ranging from $28.97 to $29.96,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block trades for multiple security holders of the Issuer at prices ranging from $29.99 to $30.97, inclusive. The Reporting Person undertakes to provide to the Issuer, any securityholder of the Issuer or the staff of the Securities and Exchange Commission, upon request, full information regarding the number of shares sold at each separate price within the range set forth herein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 stock units ("PSU") were awarded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 The award settled with respect to 1/3 of the PSUs underlying the award on August 13, 2026. The remaining 2/3 of the PSUs underlying the award are expected to settle on the achievement of a closing price per share of $38.50 and $44.00, in each case for a period of five consecutive trading days.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Meluzio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38368"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963</Words>
  <Characters>5085</Characters>
  <CharactersWithSpaces>5941</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