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June 3, 2026</w:t>
      </w:r>
    </w:p>
    <w:p>
      <w:pPr>
        <w:spacing w:after="0" w:line="4"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837565</wp:posOffset>
            </wp:positionH>
            <wp:positionV relativeFrom="paragraph">
              <wp:posOffset>50800</wp:posOffset>
            </wp:positionV>
            <wp:extent cx="5492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84455</wp:posOffset>
            </wp:positionV>
            <wp:extent cx="5492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pacing w:after="0" w:line="1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85725</wp:posOffset>
            </wp:positionV>
            <wp:extent cx="1157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112395</wp:posOffset>
            </wp:positionV>
            <wp:extent cx="1157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93345</wp:posOffset>
            </wp:positionV>
            <wp:extent cx="1157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CUE BIOPHARMA, INC.</w:t>
      </w:r>
    </w:p>
    <w:p>
      <w:pPr>
        <w:spacing w:after="0" w:line="3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91440</wp:posOffset>
            </wp:positionV>
            <wp:extent cx="1157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7" w:lineRule="exact"/>
        <w:rPr>
          <w:sz w:val="24"/>
          <w:szCs w:val="24"/>
          <w:color w:val="auto"/>
        </w:rPr>
      </w:pPr>
    </w:p>
    <w:tbl>
      <w:tblPr>
        <w:tblLayout w:type="fixed"/>
        <w:tblInd w:w="2760" w:type="dxa"/>
        <w:tblCellMar>
          <w:top w:w="0" w:type="dxa"/>
          <w:left w:w="0" w:type="dxa"/>
          <w:bottom w:w="0" w:type="dxa"/>
          <w:right w:w="0" w:type="dxa"/>
        </w:tblCellMar>
      </w:tblPr>
      <w:tr>
        <w:trPr>
          <w:trHeight w:val="152"/>
        </w:trPr>
        <w:tc>
          <w:tcPr>
            <w:tcW w:w="3020" w:type="dxa"/>
            <w:vAlign w:val="bottom"/>
          </w:tcPr>
          <w:p>
            <w:pPr>
              <w:jc w:val="center"/>
              <w:ind w:right="1481"/>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660" w:type="dxa"/>
            <w:vAlign w:val="bottom"/>
          </w:tcPr>
          <w:p>
            <w:pPr>
              <w:jc w:val="center"/>
              <w:ind w:left="1461"/>
              <w:spacing w:after="0"/>
              <w:rPr>
                <w:sz w:val="20"/>
                <w:szCs w:val="20"/>
                <w:color w:val="auto"/>
              </w:rPr>
            </w:pPr>
            <w:r>
              <w:rPr>
                <w:rFonts w:ascii="Times New Roman" w:cs="Times New Roman" w:eastAsia="Times New Roman" w:hAnsi="Times New Roman"/>
                <w:sz w:val="13"/>
                <w:szCs w:val="13"/>
                <w:b w:val="1"/>
                <w:bCs w:val="1"/>
                <w:color w:val="auto"/>
                <w:w w:val="98"/>
              </w:rPr>
              <w:t>47-3324577</w:t>
            </w:r>
          </w:p>
        </w:tc>
      </w:tr>
      <w:tr>
        <w:trPr>
          <w:trHeight w:val="117"/>
        </w:trPr>
        <w:tc>
          <w:tcPr>
            <w:tcW w:w="3020" w:type="dxa"/>
            <w:vAlign w:val="bottom"/>
          </w:tcPr>
          <w:p>
            <w:pPr>
              <w:jc w:val="center"/>
              <w:ind w:right="1481"/>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60" w:type="dxa"/>
            <w:vAlign w:val="bottom"/>
          </w:tcPr>
          <w:p>
            <w:pPr>
              <w:jc w:val="center"/>
              <w:ind w:left="1461"/>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1"/>
        </w:trPr>
        <w:tc>
          <w:tcPr>
            <w:tcW w:w="3020" w:type="dxa"/>
            <w:vAlign w:val="bottom"/>
          </w:tcPr>
          <w:p>
            <w:pPr>
              <w:jc w:val="center"/>
              <w:ind w:right="1481"/>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60" w:type="dxa"/>
            <w:vAlign w:val="bottom"/>
          </w:tcPr>
          <w:p>
            <w:pPr>
              <w:jc w:val="center"/>
              <w:ind w:left="1481"/>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40 Guest Street</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Boston, Massachusetts 02135</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(617) 949-2680</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84455</wp:posOffset>
            </wp:positionV>
            <wp:extent cx="1157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Shao-Lee Lin</w:t>
      </w:r>
    </w:p>
    <w:p>
      <w:pPr>
        <w:jc w:val="center"/>
        <w:ind w:right="-1120"/>
        <w:spacing w:after="0" w:line="229" w:lineRule="auto"/>
        <w:rPr>
          <w:sz w:val="20"/>
          <w:szCs w:val="20"/>
          <w:color w:val="auto"/>
        </w:rPr>
      </w:pPr>
      <w:r>
        <w:rPr>
          <w:rFonts w:ascii="Times New Roman" w:cs="Times New Roman" w:eastAsia="Times New Roman" w:hAnsi="Times New Roman"/>
          <w:sz w:val="11"/>
          <w:szCs w:val="11"/>
          <w:b w:val="1"/>
          <w:bCs w:val="1"/>
          <w:color w:val="auto"/>
        </w:rPr>
        <w:t>President and Chief Executive Officer</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Cue Biopharma, Inc.</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40 Guest Street</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Boston, Massachusetts 02135</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(617) 949-2680</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91440</wp:posOffset>
            </wp:positionV>
            <wp:extent cx="11576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Divakar Gupta</w:t>
      </w:r>
    </w:p>
    <w:p>
      <w:pPr>
        <w:jc w:val="center"/>
        <w:ind w:right="-1120"/>
        <w:spacing w:after="0" w:line="229" w:lineRule="auto"/>
        <w:rPr>
          <w:sz w:val="20"/>
          <w:szCs w:val="20"/>
          <w:color w:val="auto"/>
        </w:rPr>
      </w:pPr>
      <w:r>
        <w:rPr>
          <w:rFonts w:ascii="Times New Roman" w:cs="Times New Roman" w:eastAsia="Times New Roman" w:hAnsi="Times New Roman"/>
          <w:sz w:val="11"/>
          <w:szCs w:val="11"/>
          <w:b w:val="1"/>
          <w:bCs w:val="1"/>
          <w:color w:val="auto"/>
        </w:rPr>
        <w:t>Sara Semnani</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Courtney M.W. Tygesson</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Cooley LLP</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1333 2nd Street, Suite 400</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Santa Monica, CA 90401</w:t>
      </w:r>
    </w:p>
    <w:p>
      <w:pPr>
        <w:jc w:val="center"/>
        <w:ind w:right="-1120"/>
        <w:spacing w:after="0" w:line="222" w:lineRule="auto"/>
        <w:rPr>
          <w:sz w:val="20"/>
          <w:szCs w:val="20"/>
          <w:color w:val="auto"/>
        </w:rPr>
      </w:pPr>
      <w:r>
        <w:rPr>
          <w:rFonts w:ascii="Times New Roman" w:cs="Times New Roman" w:eastAsia="Times New Roman" w:hAnsi="Times New Roman"/>
          <w:sz w:val="11"/>
          <w:szCs w:val="11"/>
          <w:b w:val="1"/>
          <w:bCs w:val="1"/>
          <w:color w:val="auto"/>
        </w:rPr>
        <w:t>(310) 883-6400</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From time to time after the effective date of this Registration Statement</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84455</wp:posOffset>
            </wp:positionV>
            <wp:extent cx="1157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33" w:lineRule="exact"/>
        <w:rPr>
          <w:sz w:val="24"/>
          <w:szCs w:val="24"/>
          <w:color w:val="auto"/>
        </w:rPr>
      </w:pPr>
    </w:p>
    <w:p>
      <w:pPr>
        <w:ind w:left="132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69" w:lineRule="exact"/>
        <w:rPr>
          <w:sz w:val="24"/>
          <w:szCs w:val="24"/>
          <w:color w:val="auto"/>
        </w:rPr>
      </w:pPr>
    </w:p>
    <w:p>
      <w:pPr>
        <w:ind w:left="1320" w:right="419"/>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320" w:right="43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left="1320" w:right="45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left="1320" w:right="41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Securities and Exchange Commission pursuant to Rule 462(e) under the Securities Act,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320" w:right="25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320" w:right="359"/>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149"/>
        </w:trPr>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92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4120" w:type="dxa"/>
            <w:vAlign w:val="bottom"/>
          </w:tcPr>
          <w:p>
            <w:pPr>
              <w:ind w:left="264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8"/>
        </w:trPr>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92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4120" w:type="dxa"/>
            <w:vAlign w:val="bottom"/>
          </w:tcPr>
          <w:p>
            <w:pPr>
              <w:ind w:left="26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2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120" w:type="dxa"/>
            <w:vAlign w:val="bottom"/>
          </w:tcPr>
          <w:p>
            <w:pPr>
              <w:ind w:left="2640"/>
              <w:spacing w:after="0"/>
              <w:rPr>
                <w:sz w:val="20"/>
                <w:szCs w:val="20"/>
                <w:color w:val="auto"/>
              </w:rPr>
            </w:pPr>
            <w:r>
              <w:rPr>
                <w:rFonts w:ascii="Times New Roman" w:cs="Times New Roman" w:eastAsia="Times New Roman" w:hAnsi="Times New Roman"/>
                <w:sz w:val="11"/>
                <w:szCs w:val="11"/>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ind w:left="1320" w:right="459"/>
        <w:spacing w:after="0" w:line="14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3" w:lineRule="exact"/>
        <w:rPr>
          <w:sz w:val="24"/>
          <w:szCs w:val="24"/>
          <w:color w:val="auto"/>
        </w:rPr>
      </w:pPr>
    </w:p>
    <w:p>
      <w:pPr>
        <w:jc w:val="both"/>
        <w:ind w:left="1320" w:right="299"/>
        <w:spacing w:after="0" w:line="242"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837565</wp:posOffset>
            </wp:positionH>
            <wp:positionV relativeFrom="paragraph">
              <wp:posOffset>38735</wp:posOffset>
            </wp:positionV>
            <wp:extent cx="54927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72390</wp:posOffset>
            </wp:positionV>
            <wp:extent cx="54927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tbl>
      <w:tblPr>
        <w:tblLayout w:type="fixed"/>
        <w:tblInd w:w="1315" w:type="dxa"/>
        <w:tblCellMar>
          <w:top w:w="0" w:type="dxa"/>
          <w:left w:w="0" w:type="dxa"/>
          <w:bottom w:w="0" w:type="dxa"/>
          <w:right w:w="0" w:type="dxa"/>
        </w:tblCellMar>
      </w:tblPr>
      <w:tr>
        <w:trPr>
          <w:trHeight w:val="140"/>
        </w:trPr>
        <w:tc>
          <w:tcPr>
            <w:tcW w:w="149"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an</w:t>
            </w:r>
          </w:p>
        </w:tc>
      </w:tr>
    </w:tbl>
    <w:p>
      <w:pPr>
        <w:spacing w:after="0" w:line="40" w:lineRule="exact"/>
        <w:rPr>
          <w:sz w:val="20"/>
          <w:szCs w:val="20"/>
          <w:color w:val="auto"/>
        </w:rPr>
      </w:pPr>
    </w:p>
    <w:tbl>
      <w:tblPr>
        <w:tblLayout w:type="fixed"/>
        <w:tblInd w:w="1258" w:type="dxa"/>
        <w:tblCellMar>
          <w:top w:w="0" w:type="dxa"/>
          <w:left w:w="0" w:type="dxa"/>
          <w:bottom w:w="0" w:type="dxa"/>
          <w:right w:w="0" w:type="dxa"/>
        </w:tblCellMar>
      </w:tblPr>
      <w:tr>
        <w:trPr>
          <w:trHeight w:val="8860"/>
        </w:trPr>
        <w:tc>
          <w:tcPr>
            <w:tcW w:w="545" w:type="dxa"/>
            <w:vAlign w:val="bottom"/>
            <w:textDirection w:val="btLr"/>
          </w:tcPr>
          <w:p>
            <w:pPr>
              <w:spacing w:after="0" w:line="271" w:lineRule="auto"/>
              <w:rPr>
                <w:sz w:val="20"/>
                <w:szCs w:val="20"/>
                <w:color w:val="auto"/>
              </w:rPr>
            </w:pPr>
            <w:r>
              <w:rPr>
                <w:rFonts w:ascii="Times New Roman" w:cs="Times New Roman" w:eastAsia="Times New Roman" w:hAnsi="Times New Roman"/>
                <w:sz w:val="14"/>
                <w:szCs w:val="14"/>
                <w:b w:val="1"/>
                <w:bCs w:val="1"/>
                <w:color w:val="FF4338"/>
              </w:rPr>
              <w:t>offer to sell these securities and it is not soliciting offers to buy these securities in any state where such offer or sale is not permitted. offer to buy these securities until the registration statement filed with the Securities and Exchange Commission is effective. This prospectus is not an The information in this preliminary prospectus is not complete and may be changed. The selling stockholders may not sell these securities or accept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b w:val="1"/>
          <w:bCs w:val="1"/>
          <w:color w:val="FF4338"/>
        </w:rPr>
        <w:t>SUBJECT TO COMPLETION, DATED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-591185</wp:posOffset>
            </wp:positionV>
            <wp:extent cx="720090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4"/>
          <w:szCs w:val="24"/>
          <w:b w:val="1"/>
          <w:bCs w:val="1"/>
          <w:color w:val="auto"/>
        </w:rPr>
        <w:t>4,090,908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128905</wp:posOffset>
            </wp:positionV>
            <wp:extent cx="165608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60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Common Stock 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182880</wp:posOffset>
            </wp:positionV>
            <wp:extent cx="9690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899" w:firstLine="292"/>
        <w:spacing w:after="0" w:line="258" w:lineRule="auto"/>
        <w:rPr>
          <w:sz w:val="20"/>
          <w:szCs w:val="20"/>
          <w:color w:val="auto"/>
        </w:rPr>
      </w:pPr>
      <w:r>
        <w:rPr>
          <w:rFonts w:ascii="Times New Roman" w:cs="Times New Roman" w:eastAsia="Times New Roman" w:hAnsi="Times New Roman"/>
          <w:sz w:val="13"/>
          <w:szCs w:val="13"/>
          <w:color w:val="auto"/>
        </w:rPr>
        <w:t>This prospectus relates to the proposed resale from time to time of up to 4,090,908 shares, or the Shares, of our common stock, par value $0.001 per share, or the common stock, by the selling stockholders named herein, together with any additional selling stockholders listed in a prospectus supplement (together with any of such stockholders’ transferees, pledgees, donees or successors), which consist of (i) 2,727,272 shares of our common stock issuable upon the exercise of outstanding pre-funded warrants, or the Pre-Funded Warrants, to purchase shares of our common stock held by the selling stockholders and (ii) 1,363,636 shares of our common stock issuable upon the exercise of outstanding warrants, or the Warrants, to purchase shares of our common stock held by the selling stockholders (or, in certain circumstances, issuable upon exercise of Pre-Funded Warrants to purchase shares of our common stock that are issuable to holders of Warrants upon exercise of such Warrants for Pre-Funded Warrants in lieu of common stock). We will not receive any proceeds from the sale of the shares offered by this prospectus, except the exercise price of $11.00 per share of any of the Warrants exercised for cash.</w:t>
      </w:r>
    </w:p>
    <w:p>
      <w:pPr>
        <w:spacing w:after="0" w:line="133" w:lineRule="exact"/>
        <w:rPr>
          <w:sz w:val="20"/>
          <w:szCs w:val="20"/>
          <w:color w:val="auto"/>
        </w:rPr>
      </w:pPr>
    </w:p>
    <w:p>
      <w:pPr>
        <w:ind w:right="959" w:firstLine="292"/>
        <w:spacing w:after="0" w:line="260" w:lineRule="auto"/>
        <w:rPr>
          <w:sz w:val="20"/>
          <w:szCs w:val="20"/>
          <w:color w:val="auto"/>
        </w:rPr>
      </w:pPr>
      <w:r>
        <w:rPr>
          <w:rFonts w:ascii="Times New Roman" w:cs="Times New Roman" w:eastAsia="Times New Roman" w:hAnsi="Times New Roman"/>
          <w:sz w:val="13"/>
          <w:szCs w:val="13"/>
          <w:color w:val="auto"/>
        </w:rPr>
        <w:t>The selling stockholders acquired the Pre-Funded Warrants and Warrants from us in a private placement transaction that closed on May 4, 2026, or the Private Placement. We are filing this Registration Statement on Form S-3, of which this prospectus forms a part, to fulfill our contractual obligations with the selling stockholders to provide for the resale by the selling stockholders of the Shares. See “Selling Stockholders” beginning on page 11 of this prospectus for more information about the selling stockholders. The registration of the Shares to which this prospectus relates does not require the selling stockholders to sell any of their Shares, including any shares of common stock issuable upon the exercise of Pre-Funded Warrants or Warrants.</w:t>
      </w:r>
    </w:p>
    <w:p>
      <w:pPr>
        <w:spacing w:after="0" w:line="120" w:lineRule="exact"/>
        <w:rPr>
          <w:sz w:val="20"/>
          <w:szCs w:val="20"/>
          <w:color w:val="auto"/>
        </w:rPr>
      </w:pPr>
    </w:p>
    <w:p>
      <w:pPr>
        <w:ind w:right="1059" w:firstLine="292"/>
        <w:spacing w:after="0" w:line="267" w:lineRule="auto"/>
        <w:rPr>
          <w:sz w:val="20"/>
          <w:szCs w:val="20"/>
          <w:color w:val="auto"/>
        </w:rPr>
      </w:pPr>
      <w:r>
        <w:rPr>
          <w:rFonts w:ascii="Times New Roman" w:cs="Times New Roman" w:eastAsia="Times New Roman" w:hAnsi="Times New Roman"/>
          <w:sz w:val="13"/>
          <w:szCs w:val="13"/>
          <w:color w:val="auto"/>
        </w:rPr>
        <w:t>We are not offering any shares of our common stock under this prospectus and will not receive any proceeds from the sale or other disposition of the Shares covered hereby; however, we will receive proceeds from the cash exercise of the Warrants. See “Use of Proceeds” beginning on page 10 of this prospectus.</w:t>
      </w:r>
    </w:p>
    <w:p>
      <w:pPr>
        <w:spacing w:after="0" w:line="116" w:lineRule="exact"/>
        <w:rPr>
          <w:sz w:val="20"/>
          <w:szCs w:val="20"/>
          <w:color w:val="auto"/>
        </w:rPr>
      </w:pPr>
    </w:p>
    <w:p>
      <w:pPr>
        <w:ind w:right="919" w:firstLine="292"/>
        <w:spacing w:after="0" w:line="260" w:lineRule="auto"/>
        <w:rPr>
          <w:sz w:val="20"/>
          <w:szCs w:val="20"/>
          <w:color w:val="auto"/>
        </w:rPr>
      </w:pPr>
      <w:r>
        <w:rPr>
          <w:rFonts w:ascii="Times New Roman" w:cs="Times New Roman" w:eastAsia="Times New Roman" w:hAnsi="Times New Roman"/>
          <w:sz w:val="13"/>
          <w:szCs w:val="13"/>
          <w:color w:val="auto"/>
        </w:rPr>
        <w:t>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selling commissions applicable to the sales of Shares, any transfer taxes and all fees and expenses of legal counsel for the selling stockholders, subject to certain specified exceptions. We will bear all other costs, expenses and fees in connection with the registration of the Shares. See the section titled “Plan of Distribution” for more information about how the selling stockholders may sell or dispose of their Shares.</w:t>
      </w:r>
    </w:p>
    <w:p>
      <w:pPr>
        <w:spacing w:after="0" w:line="131" w:lineRule="exact"/>
        <w:rPr>
          <w:sz w:val="20"/>
          <w:szCs w:val="20"/>
          <w:color w:val="auto"/>
        </w:rPr>
      </w:pPr>
    </w:p>
    <w:p>
      <w:pPr>
        <w:ind w:right="879" w:firstLine="292"/>
        <w:spacing w:after="0" w:line="280" w:lineRule="auto"/>
        <w:rPr>
          <w:sz w:val="20"/>
          <w:szCs w:val="20"/>
          <w:color w:val="auto"/>
        </w:rPr>
      </w:pPr>
      <w:r>
        <w:rPr>
          <w:rFonts w:ascii="Times New Roman" w:cs="Times New Roman" w:eastAsia="Times New Roman" w:hAnsi="Times New Roman"/>
          <w:sz w:val="13"/>
          <w:szCs w:val="13"/>
          <w:color w:val="auto"/>
        </w:rPr>
        <w:t>Our common stock is traded on the Nasdaq Capital Market under the symbol “CUE.” On June 2, 2026, the last reported sales price of our common stock was $28.62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148590</wp:posOffset>
            </wp:positionV>
            <wp:extent cx="96901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342" w:lineRule="exact"/>
        <w:rPr>
          <w:sz w:val="20"/>
          <w:szCs w:val="20"/>
          <w:color w:val="auto"/>
        </w:rPr>
      </w:pPr>
    </w:p>
    <w:p>
      <w:pPr>
        <w:ind w:right="979" w:firstLine="292"/>
        <w:spacing w:after="0" w:line="241" w:lineRule="auto"/>
        <w:rPr>
          <w:sz w:val="20"/>
          <w:szCs w:val="20"/>
          <w:color w:val="auto"/>
        </w:rPr>
      </w:pPr>
      <w:r>
        <w:rPr>
          <w:rFonts w:ascii="Times New Roman" w:cs="Times New Roman" w:eastAsia="Times New Roman" w:hAnsi="Times New Roman"/>
          <w:sz w:val="16"/>
          <w:szCs w:val="16"/>
          <w:b w:val="1"/>
          <w:bCs w:val="1"/>
          <w:i w:val="1"/>
          <w:iCs w:val="1"/>
          <w:color w:val="auto"/>
        </w:rPr>
        <w:t>Investing in our securities involves a high degree of risk. Before making an investment decision, you should review carefully the risks and uncertainties described under the heading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on page 7 of this prospectus as well as those contained in the applicable prospectus supplement and in any free writing prospectuses we may authorize for use in connection with a specific offering, and under similar headings in the other documents that are incorporated by reference into this prospectus.</w:t>
      </w:r>
    </w:p>
    <w:p>
      <w:pPr>
        <w:spacing w:after="0" w:line="134" w:lineRule="exact"/>
        <w:rPr>
          <w:sz w:val="20"/>
          <w:szCs w:val="20"/>
          <w:color w:val="auto"/>
        </w:rPr>
      </w:pPr>
    </w:p>
    <w:p>
      <w:pPr>
        <w:jc w:val="both"/>
        <w:ind w:right="1179" w:firstLine="292"/>
        <w:spacing w:after="0" w:line="269"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153035</wp:posOffset>
            </wp:positionV>
            <wp:extent cx="96901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9010" cy="6985"/>
                    </a:xfrm>
                    <a:prstGeom prst="rect">
                      <a:avLst/>
                    </a:prstGeom>
                    <a:noFill/>
                  </pic:spPr>
                </pic:pic>
              </a:graphicData>
            </a:graphic>
          </wp:anchor>
        </w:drawing>
      </w:r>
    </w:p>
    <w:p>
      <w:pPr>
        <w:spacing w:after="0" w:line="35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b w:val="1"/>
          <w:bCs w:val="1"/>
          <w:color w:val="auto"/>
        </w:rPr>
        <w:t>The date of this prospectus is            , 2026.</w:t>
      </w:r>
    </w:p>
    <w:p>
      <w:pPr>
        <w:sectPr>
          <w:pgSz w:w="11900" w:h="16838" w:orient="portrait"/>
          <w:cols w:equalWidth="0" w:num="2">
            <w:col w:w="1804" w:space="196"/>
            <w:col w:w="8159"/>
          </w:cols>
          <w:pgMar w:left="300" w:top="38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7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80" w:type="dxa"/>
            <w:vAlign w:val="bottom"/>
          </w:tcPr>
          <w:p>
            <w:pPr>
              <w:spacing w:after="0"/>
              <w:rPr>
                <w:sz w:val="16"/>
                <w:szCs w:val="16"/>
                <w:color w:val="auto"/>
              </w:rPr>
            </w:pPr>
          </w:p>
        </w:tc>
      </w:tr>
      <w:tr>
        <w:trPr>
          <w:trHeight w:val="293"/>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2"/>
        </w:trPr>
        <w:tc>
          <w:tcPr>
            <w:tcW w:w="1760" w:type="dxa"/>
            <w:vAlign w:val="bottom"/>
            <w:tcBorders>
              <w:bottom w:val="single" w:sz="8" w:color="0000EE"/>
            </w:tcBorders>
            <w:gridSpan w:val="9"/>
          </w:tcPr>
          <w:p>
            <w:pPr>
              <w:spacing w:after="0" w:line="153" w:lineRule="exact"/>
              <w:rPr>
                <w:sz w:val="20"/>
                <w:szCs w:val="20"/>
                <w:color w:val="auto"/>
              </w:rPr>
            </w:pPr>
            <w:r>
              <w:rPr>
                <w:rFonts w:ascii="Times New Roman" w:cs="Times New Roman" w:eastAsia="Times New Roman" w:hAnsi="Times New Roman"/>
                <w:sz w:val="14"/>
                <w:szCs w:val="14"/>
                <w:color w:val="0000EE"/>
              </w:rPr>
              <w:t>ABOUT THIS PROSPECTUS</w:t>
            </w:r>
          </w:p>
        </w:tc>
        <w:tc>
          <w:tcPr>
            <w:tcW w:w="4960" w:type="dxa"/>
            <w:vAlign w:val="bottom"/>
            <w:gridSpan w:val="4"/>
          </w:tcPr>
          <w:p>
            <w:pPr>
              <w:spacing w:after="0"/>
              <w:rPr>
                <w:sz w:val="13"/>
                <w:szCs w:val="13"/>
                <w:color w:val="auto"/>
              </w:rPr>
            </w:pPr>
          </w:p>
        </w:tc>
        <w:tc>
          <w:tcPr>
            <w:tcW w:w="18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r>
      <w:tr>
        <w:trPr>
          <w:trHeight w:val="150"/>
        </w:trPr>
        <w:tc>
          <w:tcPr>
            <w:tcW w:w="1640" w:type="dxa"/>
            <w:vAlign w:val="bottom"/>
            <w:tcBorders>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w w:val="99"/>
              </w:rPr>
              <w:t>PROSPECTUS SUMMARY</w:t>
            </w:r>
          </w:p>
        </w:tc>
        <w:tc>
          <w:tcPr>
            <w:tcW w:w="5080" w:type="dxa"/>
            <w:vAlign w:val="bottom"/>
            <w:gridSpan w:val="6"/>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r>
      <w:tr>
        <w:trPr>
          <w:trHeight w:val="150"/>
        </w:trPr>
        <w:tc>
          <w:tcPr>
            <w:tcW w:w="100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8"/>
              </w:rPr>
              <w:t>THE OFFERING</w:t>
            </w:r>
          </w:p>
        </w:tc>
        <w:tc>
          <w:tcPr>
            <w:tcW w:w="5720" w:type="dxa"/>
            <w:vAlign w:val="bottom"/>
            <w:gridSpan w:val="10"/>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98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5740" w:type="dxa"/>
            <w:vAlign w:val="bottom"/>
            <w:gridSpan w:val="11"/>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150"/>
        </w:trPr>
        <w:tc>
          <w:tcPr>
            <w:tcW w:w="454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w w:val="99"/>
              </w:rPr>
              <w:t>CAUTIONARY NOTE REGARDING FORWARD-LOOKING STATEMENTS</w:t>
            </w:r>
          </w:p>
        </w:tc>
        <w:tc>
          <w:tcPr>
            <w:tcW w:w="2180" w:type="dxa"/>
            <w:vAlign w:val="bottom"/>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w:t>
            </w:r>
          </w:p>
        </w:tc>
      </w:tr>
      <w:tr>
        <w:trPr>
          <w:trHeight w:val="150"/>
        </w:trPr>
        <w:tc>
          <w:tcPr>
            <w:tcW w:w="124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9"/>
              </w:rPr>
              <w:t>USE OF PROCEEDS</w:t>
            </w:r>
          </w:p>
        </w:tc>
        <w:tc>
          <w:tcPr>
            <w:tcW w:w="5480" w:type="dxa"/>
            <w:vAlign w:val="bottom"/>
            <w:gridSpan w:val="8"/>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r>
      <w:tr>
        <w:trPr>
          <w:trHeight w:val="150"/>
        </w:trPr>
        <w:tc>
          <w:tcPr>
            <w:tcW w:w="174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w w:val="99"/>
              </w:rPr>
              <w:t>SELLING STOCKHOLDERS</w:t>
            </w:r>
          </w:p>
        </w:tc>
        <w:tc>
          <w:tcPr>
            <w:tcW w:w="4980" w:type="dxa"/>
            <w:vAlign w:val="bottom"/>
            <w:gridSpan w:val="5"/>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w:t>
            </w:r>
          </w:p>
        </w:tc>
      </w:tr>
      <w:tr>
        <w:trPr>
          <w:trHeight w:val="150"/>
        </w:trPr>
        <w:tc>
          <w:tcPr>
            <w:tcW w:w="672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26</w:t>
            </w:r>
          </w:p>
        </w:tc>
      </w:tr>
      <w:tr>
        <w:trPr>
          <w:trHeight w:val="150"/>
        </w:trPr>
        <w:tc>
          <w:tcPr>
            <w:tcW w:w="1600" w:type="dxa"/>
            <w:vAlign w:val="bottom"/>
            <w:tcBorders>
              <w:top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5120" w:type="dxa"/>
            <w:vAlign w:val="bottom"/>
            <w:gridSpan w:val="7"/>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28</w:t>
            </w:r>
          </w:p>
        </w:tc>
      </w:tr>
      <w:tr>
        <w:trPr>
          <w:trHeight w:val="150"/>
        </w:trPr>
        <w:tc>
          <w:tcPr>
            <w:tcW w:w="1140" w:type="dxa"/>
            <w:vAlign w:val="bottom"/>
            <w:tcBorders>
              <w:top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5580" w:type="dxa"/>
            <w:vAlign w:val="bottom"/>
            <w:gridSpan w:val="9"/>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28</w:t>
            </w:r>
          </w:p>
        </w:tc>
      </w:tr>
      <w:tr>
        <w:trPr>
          <w:trHeight w:val="20"/>
        </w:trPr>
        <w:tc>
          <w:tcPr>
            <w:tcW w:w="600" w:type="dxa"/>
            <w:vAlign w:val="bottom"/>
            <w:shd w:val="clear" w:color="auto" w:fill="0000EE"/>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50"/>
        </w:trPr>
        <w:tc>
          <w:tcPr>
            <w:tcW w:w="3000" w:type="dxa"/>
            <w:vAlign w:val="bottom"/>
            <w:tcBorders>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3720" w:type="dxa"/>
            <w:vAlign w:val="bottom"/>
            <w:gridSpan w:val="3"/>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28</w:t>
            </w:r>
          </w:p>
        </w:tc>
      </w:tr>
      <w:tr>
        <w:trPr>
          <w:trHeight w:val="150"/>
        </w:trPr>
        <w:tc>
          <w:tcPr>
            <w:tcW w:w="672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0"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This prospectus is a part of a registration statement on Form S-3 that we filed with the Securities and Exchange Commission, or the SEC, using a “shelf” registration process. Under this shelf registration process, the selling stockholders may from time to time sell the shares of common stock described in this prospectus in one or more offerings or otherwise as described under “Plan of Distribution.”</w:t>
      </w:r>
    </w:p>
    <w:p>
      <w:pPr>
        <w:spacing w:after="0" w:line="137" w:lineRule="exact"/>
        <w:rPr>
          <w:sz w:val="20"/>
          <w:szCs w:val="20"/>
          <w:color w:val="auto"/>
        </w:rPr>
      </w:pPr>
    </w:p>
    <w:p>
      <w:pPr>
        <w:ind w:left="1320" w:right="399" w:firstLine="346"/>
        <w:spacing w:after="0" w:line="261" w:lineRule="auto"/>
        <w:rPr>
          <w:sz w:val="20"/>
          <w:szCs w:val="20"/>
          <w:color w:val="auto"/>
        </w:rPr>
      </w:pPr>
      <w:r>
        <w:rPr>
          <w:rFonts w:ascii="Times New Roman" w:cs="Times New Roman" w:eastAsia="Times New Roman" w:hAnsi="Times New Roman"/>
          <w:sz w:val="14"/>
          <w:szCs w:val="14"/>
          <w:color w:val="auto"/>
        </w:rPr>
        <w:t>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Additional Information” before deciding to invest in any shares being offered.</w:t>
      </w:r>
    </w:p>
    <w:p>
      <w:pPr>
        <w:spacing w:after="0" w:line="142" w:lineRule="exact"/>
        <w:rPr>
          <w:sz w:val="20"/>
          <w:szCs w:val="20"/>
          <w:color w:val="auto"/>
        </w:rPr>
      </w:pPr>
    </w:p>
    <w:p>
      <w:pPr>
        <w:ind w:left="1320" w:right="259" w:firstLine="346"/>
        <w:spacing w:after="0" w:line="259"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any information other than that contained or incorporated by reference in this prospectus or in any related prospectus supplement or any free writing prospectus that we have authorized. We take no responsibility for, and can provide no assurance as to the reliability of, any other information that others may give you. The Shares are not being offered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w:t>
      </w:r>
    </w:p>
    <w:p>
      <w:pPr>
        <w:spacing w:after="0" w:line="145" w:lineRule="exact"/>
        <w:rPr>
          <w:sz w:val="20"/>
          <w:szCs w:val="20"/>
          <w:color w:val="auto"/>
        </w:rPr>
      </w:pPr>
    </w:p>
    <w:p>
      <w:pPr>
        <w:ind w:left="1320" w:right="199" w:firstLine="346"/>
        <w:spacing w:after="0" w:line="236" w:lineRule="auto"/>
        <w:rPr>
          <w:sz w:val="20"/>
          <w:szCs w:val="20"/>
          <w:color w:val="auto"/>
        </w:rPr>
      </w:pPr>
      <w:r>
        <w:rPr>
          <w:rFonts w:ascii="Times New Roman" w:cs="Times New Roman" w:eastAsia="Times New Roman" w:hAnsi="Times New Roman"/>
          <w:sz w:val="14"/>
          <w:szCs w:val="14"/>
          <w:color w:val="auto"/>
        </w:rPr>
        <w:t xml:space="preserve">Unless otherwise stated, all references in this prospectus to “we,” “us,” “our,” “the company” and “Cue,” and similar designations, except where the context requires otherwise, refer collectively to Cue Biopharma, Inc. and its consolidated subsidiary. We own various U.S. federal trademark applications and unregistered trademarks, including our company name. All other trademarks or trade names referred to in this prospectus, including any relating to a selling stockholder, are the property of their respective owners. Solely for convenience, the trademarks and trade names in this prospectus are referred to without the symbols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but such references should not be construed as any indication that their respective owners will not assert, to the fullest extent under applicable law, their rights thereto.</w:t>
      </w:r>
    </w:p>
    <w:p>
      <w:pPr>
        <w:spacing w:after="0" w:line="1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818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98465" cy="4818380"/>
                    </a:xfrm>
                    <a:prstGeom prst="rect">
                      <a:avLst/>
                    </a:prstGeom>
                    <a:noFill/>
                  </pic:spPr>
                </pic:pic>
              </a:graphicData>
            </a:graphic>
          </wp:anchor>
        </w:drawing>
      </w:r>
    </w:p>
    <w:p>
      <w:pPr>
        <w:spacing w:after="0" w:line="3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80" w:lineRule="exact"/>
        <w:rPr>
          <w:sz w:val="20"/>
          <w:szCs w:val="20"/>
          <w:color w:val="auto"/>
        </w:rPr>
      </w:pPr>
    </w:p>
    <w:p>
      <w:pPr>
        <w:ind w:left="1460" w:right="379" w:firstLine="334"/>
        <w:spacing w:after="0" w:line="261" w:lineRule="auto"/>
        <w:rPr>
          <w:sz w:val="20"/>
          <w:szCs w:val="20"/>
          <w:color w:val="auto"/>
        </w:rPr>
      </w:pPr>
      <w:r>
        <w:rPr>
          <w:rFonts w:ascii="Times New Roman" w:cs="Times New Roman" w:eastAsia="Times New Roman" w:hAnsi="Times New Roman"/>
          <w:sz w:val="14"/>
          <w:szCs w:val="14"/>
          <w:color w:val="auto"/>
        </w:rPr>
        <w:t>This summary highlights selected information from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“Risk Factors” and under similar headings in our SEC filings, including the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42" w:lineRule="exact"/>
        <w:rPr>
          <w:sz w:val="20"/>
          <w:szCs w:val="20"/>
          <w:color w:val="auto"/>
        </w:rPr>
      </w:pPr>
    </w:p>
    <w:p>
      <w:pPr>
        <w:ind w:left="1460" w:right="419" w:firstLine="334"/>
        <w:spacing w:after="0" w:line="286" w:lineRule="auto"/>
        <w:rPr>
          <w:sz w:val="20"/>
          <w:szCs w:val="20"/>
          <w:color w:val="auto"/>
        </w:rPr>
      </w:pPr>
      <w:r>
        <w:rPr>
          <w:rFonts w:ascii="Times New Roman" w:cs="Times New Roman" w:eastAsia="Times New Roman" w:hAnsi="Times New Roman"/>
          <w:sz w:val="14"/>
          <w:szCs w:val="14"/>
          <w:color w:val="auto"/>
        </w:rPr>
        <w:t>Unless the context requires otherwise, references in this prospectus to “Cue,” “the company,” “we,” “us,” “our” or similar terms refer to Cue Biopharma, Inc. and its consolidated subsidiary.</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5" w:lineRule="exact"/>
        <w:rPr>
          <w:sz w:val="20"/>
          <w:szCs w:val="20"/>
          <w:color w:val="auto"/>
        </w:rPr>
      </w:pPr>
    </w:p>
    <w:p>
      <w:pPr>
        <w:ind w:left="1460" w:right="639" w:firstLine="334"/>
        <w:spacing w:after="0" w:line="233" w:lineRule="auto"/>
        <w:rPr>
          <w:sz w:val="20"/>
          <w:szCs w:val="20"/>
          <w:color w:val="auto"/>
        </w:rPr>
      </w:pPr>
      <w:r>
        <w:rPr>
          <w:rFonts w:ascii="Times New Roman" w:cs="Times New Roman" w:eastAsia="Times New Roman" w:hAnsi="Times New Roman"/>
          <w:sz w:val="14"/>
          <w:szCs w:val="14"/>
          <w:color w:val="auto"/>
        </w:rPr>
        <w:t>We are a clinical-stage therapeutics company focused on advancing a portfolio of potentially transformative therapies aimed at enabling functional cures across immunological disorders. Our lead asset, CUE-221, is a novel humanized anti-IgE monoclonal antibody with a dual-mechanism of action currently in Phase 2 development for allergic diseases. In addition, we developed the Immuno-STAT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platform which selectively targets disease-specific T cells in vivo without broad immune modulation. Our lead autoimmune candidate, CUE-401, is advancing towards Phase 1 development and was designed to regulate inflammation and drive Treg-mediated tolerance.</w:t>
      </w:r>
    </w:p>
    <w:p>
      <w:pPr>
        <w:spacing w:after="0" w:line="24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Private Placement</w:t>
      </w:r>
    </w:p>
    <w:p>
      <w:pPr>
        <w:spacing w:after="0" w:line="95" w:lineRule="exact"/>
        <w:rPr>
          <w:sz w:val="20"/>
          <w:szCs w:val="20"/>
          <w:color w:val="auto"/>
        </w:rPr>
      </w:pPr>
    </w:p>
    <w:p>
      <w:pPr>
        <w:ind w:left="1460" w:right="399" w:firstLine="334"/>
        <w:spacing w:after="0" w:line="257" w:lineRule="auto"/>
        <w:rPr>
          <w:sz w:val="20"/>
          <w:szCs w:val="20"/>
          <w:color w:val="auto"/>
        </w:rPr>
      </w:pPr>
      <w:r>
        <w:rPr>
          <w:rFonts w:ascii="Times New Roman" w:cs="Times New Roman" w:eastAsia="Times New Roman" w:hAnsi="Times New Roman"/>
          <w:sz w:val="14"/>
          <w:szCs w:val="14"/>
          <w:color w:val="auto"/>
        </w:rPr>
        <w:t>On April 30, 2026, we entered into a securities purchase agreement, or the Securities Purchase Agreement, with accredited investors, or the Investors, pursuant to which we agreed to issue and sell to the Investors in a private placement, Pre-Funded Warrants to purchase an aggregate of up to 2,727,272 shares of our common stock and accompanying Warrants to purchase an aggregate of up to 1,363,636 shares of our common stock (or, in certain circumstances, Pre-Funded Warrants to purchase our common stock in lieu thereof) at a price of $11.00 per Pre-Funded Warrant and accompanying Warrant, or the Purchase Price. The exercise price of the Pre-Funded Warrants is $0.001 per share. The exercise price of the Warrants is $11.00 per share. We received gross proceeds of approximately $30.0 million, before deducting placement agent fees and offering expenses, and aggregate net proceeds of approximately $28.0 million, after deducting placement agent fees. The closing of the Private Placement occurred on May 4, 2026, or the Closing Date.</w:t>
      </w:r>
    </w:p>
    <w:p>
      <w:pPr>
        <w:spacing w:after="0" w:line="1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Pre-Funded Warrants are cashless exercisable. In certain circumstances, upon a fundamental transaction (as described</w:t>
      </w:r>
    </w:p>
    <w:p>
      <w:pPr>
        <w:spacing w:after="0" w:line="23" w:lineRule="exact"/>
        <w:rPr>
          <w:sz w:val="20"/>
          <w:szCs w:val="20"/>
          <w:color w:val="auto"/>
        </w:rPr>
      </w:pPr>
    </w:p>
    <w:p>
      <w:pPr>
        <w:ind w:left="1460" w:right="339"/>
        <w:spacing w:after="0" w:line="252" w:lineRule="auto"/>
        <w:rPr>
          <w:sz w:val="20"/>
          <w:szCs w:val="20"/>
          <w:color w:val="auto"/>
        </w:rPr>
      </w:pPr>
      <w:r>
        <w:rPr>
          <w:rFonts w:ascii="Times New Roman" w:cs="Times New Roman" w:eastAsia="Times New Roman" w:hAnsi="Times New Roman"/>
          <w:sz w:val="14"/>
          <w:szCs w:val="14"/>
          <w:color w:val="auto"/>
        </w:rPr>
        <w:t>in the Pre-Funded Warrant), a holder of Pre-Funded Warrants is entitled to receive, upon exercise of the Pre-Funded Warrants, the kind and amount of securities, cash or other property that such holder would have received had they exercised the Pre-Funded Warrants immediately prior to the fundamental transaction; provided, however, that in the event of a fundamental transaction where the consideration consists solely of cash, solely of marketable securities or a combination thereof, each Pre-Funded Warrant will be deemed to be exercised in full in a cashless exercise effective immediately prior to and contingent upon the consummation of such fundamental transaction. Under the Pre-Funded Warrants, we may not effect the exercise of any such warrants, and a holder will not be entitled to exercise any portion of any such warrant that, upon giving effect to such exercise, would cause: (i) the aggregate number of shares of our common stock beneficially owned by such holder (together with its affiliates) to exceed 4.99% or 9.99%, as elected by the holder, of the number of shares of our common stock outstanding immediately after giving effect to the exercise; or (ii) the combined voting power of our securities beneficially owned by such holder (together with its affiliates) to exceed 4.99% or</w:t>
      </w:r>
    </w:p>
    <w:p>
      <w:pPr>
        <w:spacing w:after="0" w:line="5" w:lineRule="exact"/>
        <w:rPr>
          <w:sz w:val="20"/>
          <w:szCs w:val="20"/>
          <w:color w:val="auto"/>
        </w:rPr>
      </w:pPr>
    </w:p>
    <w:p>
      <w:pPr>
        <w:jc w:val="both"/>
        <w:ind w:left="1460" w:right="359"/>
        <w:spacing w:after="0" w:line="259" w:lineRule="auto"/>
        <w:rPr>
          <w:sz w:val="20"/>
          <w:szCs w:val="20"/>
          <w:color w:val="auto"/>
        </w:rPr>
      </w:pPr>
      <w:r>
        <w:rPr>
          <w:rFonts w:ascii="Times New Roman" w:cs="Times New Roman" w:eastAsia="Times New Roman" w:hAnsi="Times New Roman"/>
          <w:sz w:val="14"/>
          <w:szCs w:val="14"/>
          <w:color w:val="auto"/>
        </w:rPr>
        <w:t>9.99%, as elected by the holder, of the combined voting power of all of our securities outstanding immediately after giving effect to the exercise, as such percentage ownership is determined in accordance with the terms of the applicable warrant, which percentage may be changed at the holder’s election to a higher percentage not in excess of 19.99% upon 61 days’ notice to us.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603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98465" cy="4603115"/>
                    </a:xfrm>
                    <a:prstGeom prst="rect">
                      <a:avLst/>
                    </a:prstGeom>
                    <a:noFill/>
                  </pic:spPr>
                </pic:pic>
              </a:graphicData>
            </a:graphic>
          </wp:anchor>
        </w:drawing>
      </w:r>
    </w:p>
    <w:p>
      <w:pPr>
        <w:spacing w:after="0" w:line="372" w:lineRule="exact"/>
        <w:rPr>
          <w:sz w:val="20"/>
          <w:szCs w:val="20"/>
          <w:color w:val="auto"/>
        </w:rPr>
      </w:pPr>
    </w:p>
    <w:p>
      <w:pPr>
        <w:ind w:left="1460" w:right="359" w:firstLine="334"/>
        <w:spacing w:after="0" w:line="255" w:lineRule="auto"/>
        <w:rPr>
          <w:sz w:val="20"/>
          <w:szCs w:val="20"/>
          <w:color w:val="auto"/>
        </w:rPr>
      </w:pPr>
      <w:r>
        <w:rPr>
          <w:rFonts w:ascii="Times New Roman" w:cs="Times New Roman" w:eastAsia="Times New Roman" w:hAnsi="Times New Roman"/>
          <w:sz w:val="14"/>
          <w:szCs w:val="14"/>
          <w:color w:val="auto"/>
        </w:rPr>
        <w:t>The Warrants are exercisable at any time prior to five years after the Closing Date. Each Warrant is exercisable solely by means of a cash exercise, except that the Warrant is exercisable via cashless exercise if, at the time of exercise, a registration statement registering the issuance of the shares of our common stock underlying the Warrants under the Securities Act of 1933, as amended, or the Securities Act, is not then effective. The Warrants include certain rights upon fundamental transactions (as described in the Warrants), including in the event of certain fundamental transactions which are approved by our Board of Directors, or the Board, the right to require us or a successor entity to redeem the Warrants for cash in the amount of the Black Scholes value of the unexercised portion of the Warrants on the date of the consummation of the fundamental transaction. In the event of a fundamental transaction which is not within our control, including but not limited to a fundamental transaction that is not approved by the Board, or, in the event of a fundamental transaction where the alternate consideration payable to common stockholders is equity securities of the successor entity that are quoted or listed on a nationally recognized securities exchange, the holders of the Warrants are only entitled to receive from us, or any successor entity, the same type or form of consideration (and in the same proportion), at the Black Scholes value of the unexercised portion of the Warrant as is being offered and paid to our common stockholders in connection with the fundamental transaction. A holder of Warrants (together with its affiliates) may not exercise any portion of a Warrant to the extent that the holder would beneficially own more than 4.99% or 9.99%, at the election of the holder, of our outstanding common stock immediately after exercise, which percentage may be changed at the holder’s election to a higher percentage not in excess of 19.99% upon 61 days’ notice to us.</w:t>
      </w:r>
    </w:p>
    <w:p>
      <w:pPr>
        <w:spacing w:after="0" w:line="14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color w:val="auto"/>
        </w:rPr>
        <w:t>Based in part upon the representations of the Investors in the Securities Purchase Agreement, the offering and sale of</w:t>
      </w:r>
    </w:p>
    <w:p>
      <w:pPr>
        <w:spacing w:after="0" w:line="23" w:lineRule="exact"/>
        <w:rPr>
          <w:sz w:val="20"/>
          <w:szCs w:val="20"/>
          <w:color w:val="auto"/>
        </w:rPr>
      </w:pPr>
    </w:p>
    <w:p>
      <w:pPr>
        <w:ind w:left="1460" w:right="419"/>
        <w:spacing w:after="0" w:line="265" w:lineRule="auto"/>
        <w:rPr>
          <w:sz w:val="20"/>
          <w:szCs w:val="20"/>
          <w:color w:val="auto"/>
        </w:rPr>
      </w:pPr>
      <w:r>
        <w:rPr>
          <w:rFonts w:ascii="Times New Roman" w:cs="Times New Roman" w:eastAsia="Times New Roman" w:hAnsi="Times New Roman"/>
          <w:sz w:val="14"/>
          <w:szCs w:val="14"/>
          <w:color w:val="auto"/>
        </w:rPr>
        <w:t>the Pre-Funded Warrants and the Warrants was exempt from registration under Section 4(a)(2) of the Securities Act and/or Rule 506 of Regulation D under the Securities Act.</w:t>
      </w:r>
    </w:p>
    <w:p>
      <w:pPr>
        <w:spacing w:after="0" w:line="139" w:lineRule="exact"/>
        <w:rPr>
          <w:sz w:val="20"/>
          <w:szCs w:val="20"/>
          <w:color w:val="auto"/>
        </w:rPr>
      </w:pPr>
    </w:p>
    <w:p>
      <w:pPr>
        <w:ind w:left="1460" w:right="339" w:firstLine="334"/>
        <w:spacing w:after="0" w:line="257" w:lineRule="auto"/>
        <w:rPr>
          <w:sz w:val="20"/>
          <w:szCs w:val="20"/>
          <w:color w:val="auto"/>
        </w:rPr>
      </w:pPr>
      <w:r>
        <w:rPr>
          <w:rFonts w:ascii="Times New Roman" w:cs="Times New Roman" w:eastAsia="Times New Roman" w:hAnsi="Times New Roman"/>
          <w:sz w:val="14"/>
          <w:szCs w:val="14"/>
          <w:color w:val="auto"/>
        </w:rPr>
        <w:t>Also on April 30, 2026, we entered into a registration rights agreement, or the Registration Rights Agreement, with the Investors, pursuant to which we agreed to register for resale the Shares. Under the Registration Rights Agreement, we agreed to file a registration statement covering the resale by the Investors of the Shares within 30 days following the closing of the Private Placement, or the Filing Deadline. We agreed to use commercially reasonable efforts to cause such registration statement to be declared effective as soon as reasonably practicable. We have also agreed to use commercially reasonable efforts to cause the registration statement to remain continuously effective until the earlier of (i) such time as all of the shares covered by this prospectus have been disposed of pursuant to and in accordance with such registration statement or (ii) the date on which all of the shares may be sold without restriction pursuant to Rule 144 of the Securities Act. The Company has agreed to be responsible for all fees and expenses incurred in connection with the registration of the Shares.</w:t>
      </w:r>
    </w:p>
    <w:p>
      <w:pPr>
        <w:spacing w:after="0" w:line="147" w:lineRule="exact"/>
        <w:rPr>
          <w:sz w:val="20"/>
          <w:szCs w:val="20"/>
          <w:color w:val="auto"/>
        </w:rPr>
      </w:pPr>
    </w:p>
    <w:p>
      <w:pPr>
        <w:ind w:left="1460" w:right="359" w:firstLine="334"/>
        <w:spacing w:after="0" w:line="256" w:lineRule="auto"/>
        <w:rPr>
          <w:sz w:val="20"/>
          <w:szCs w:val="20"/>
          <w:color w:val="auto"/>
        </w:rPr>
      </w:pPr>
      <w:r>
        <w:rPr>
          <w:rFonts w:ascii="Times New Roman" w:cs="Times New Roman" w:eastAsia="Times New Roman" w:hAnsi="Times New Roman"/>
          <w:sz w:val="14"/>
          <w:szCs w:val="14"/>
          <w:color w:val="auto"/>
        </w:rPr>
        <w:t>In the event (i) the registration statement has not been filed by the Filing Deadline, (ii) following receipt of approval by our stockholders of the issuance of our common stock upon exercise of the Pre-Funded Warrants and the Warrants in accordance with applicable listing rules of the Nasdaq Stock Market, including Nasdaq Listing Rule 5635, the registration statement has not been declared effective prior to the earlier of (a) five business days after the date on which we are notified by the Securities and Exchange Commission, or the SEC, that the registration statement will not be reviewed or is not subject to further comment by the SEC staff, (b) the 60th day following the Closing Date, if the SEC staff determines not to review the registration statement, or (c) the 90th day following the Closing Date, if the SEC staff determines to review the registration statement, or (iii) after the registration statement has been declared effective by the SEC, sales cannot be made pursuant to the registration statement for any reason, subject to certain limited exceptions, then we have agreed to make pro rata payments to each Investor as liquidated damages in an amount equal to 1.0% of the aggregate amount invested by each such Investor for the Shares for the initial day of failure and for each 30-day period thereafter (or pro rata for any portion thereof) until such failure is cured, subject to certain caps set forth in the Registration Rights Agreement.</w:t>
      </w:r>
    </w:p>
    <w:p>
      <w:pPr>
        <w:spacing w:after="0" w:line="148" w:lineRule="exact"/>
        <w:rPr>
          <w:sz w:val="20"/>
          <w:szCs w:val="20"/>
          <w:color w:val="auto"/>
        </w:rPr>
      </w:pPr>
    </w:p>
    <w:p>
      <w:pPr>
        <w:ind w:left="1460" w:right="779" w:firstLine="334"/>
        <w:spacing w:after="0" w:line="286" w:lineRule="auto"/>
        <w:rPr>
          <w:sz w:val="20"/>
          <w:szCs w:val="20"/>
          <w:color w:val="auto"/>
        </w:rPr>
      </w:pPr>
      <w:r>
        <w:rPr>
          <w:rFonts w:ascii="Times New Roman" w:cs="Times New Roman" w:eastAsia="Times New Roman" w:hAnsi="Times New Roman"/>
          <w:sz w:val="14"/>
          <w:szCs w:val="14"/>
          <w:color w:val="auto"/>
        </w:rPr>
        <w:t>We granted the Investors customary indemnification rights in connection with the registration statement. The Investors also granted us customary indemnification rights in connection with the registration statement.</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4778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98465" cy="4778375"/>
                    </a:xfrm>
                    <a:prstGeom prst="rect">
                      <a:avLst/>
                    </a:prstGeom>
                    <a:noFill/>
                  </pic:spPr>
                </pic:pic>
              </a:graphicData>
            </a:graphic>
          </wp:anchor>
        </w:drawing>
      </w:r>
    </w:p>
    <w:p>
      <w:pPr>
        <w:spacing w:after="0" w:line="372" w:lineRule="exact"/>
        <w:rPr>
          <w:sz w:val="20"/>
          <w:szCs w:val="20"/>
          <w:color w:val="auto"/>
        </w:rPr>
      </w:pPr>
    </w:p>
    <w:p>
      <w:pPr>
        <w:ind w:left="1460" w:right="379" w:firstLine="334"/>
        <w:spacing w:after="0" w:line="261" w:lineRule="auto"/>
        <w:rPr>
          <w:sz w:val="20"/>
          <w:szCs w:val="20"/>
          <w:color w:val="auto"/>
        </w:rPr>
      </w:pPr>
      <w:r>
        <w:rPr>
          <w:rFonts w:ascii="Times New Roman" w:cs="Times New Roman" w:eastAsia="Times New Roman" w:hAnsi="Times New Roman"/>
          <w:sz w:val="14"/>
          <w:szCs w:val="14"/>
          <w:color w:val="auto"/>
        </w:rPr>
        <w:t>The registration statement of which this prospectus is a part relates to the offer and resale of the Shares issued to the Investors pursuant to the Securities Purchase Agreement, including the shares of our common stock issuable upon the exercise of outstanding Pre-Funded Warrants and Warrants. When we refer to the selling stockholders in this prospectus, we are referring to the Investors and, as applicable, any donees, pledgees, assignees, transferees or other successors-in-interest selling the Shares received after the date of this prospectus from the selling stockholders as a gift, pledge, or other non-sale related transfer.</w:t>
      </w:r>
    </w:p>
    <w:p>
      <w:pPr>
        <w:spacing w:after="0" w:line="14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Following the closing of the Private Placement, as of June 1, 2026 we had 4,200,343 shares of common stock outstanding.</w:t>
      </w:r>
    </w:p>
    <w:p>
      <w:pPr>
        <w:spacing w:after="0" w:line="2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Risks Associated with Our Business</w:t>
      </w:r>
    </w:p>
    <w:p>
      <w:pPr>
        <w:spacing w:after="0" w:line="95" w:lineRule="exact"/>
        <w:rPr>
          <w:sz w:val="20"/>
          <w:szCs w:val="20"/>
          <w:color w:val="auto"/>
        </w:rPr>
      </w:pPr>
    </w:p>
    <w:p>
      <w:pPr>
        <w:jc w:val="both"/>
        <w:ind w:left="1460" w:right="479" w:firstLine="334"/>
        <w:spacing w:after="0" w:line="269" w:lineRule="auto"/>
        <w:rPr>
          <w:sz w:val="20"/>
          <w:szCs w:val="20"/>
          <w:color w:val="auto"/>
        </w:rPr>
      </w:pPr>
      <w:r>
        <w:rPr>
          <w:rFonts w:ascii="Times New Roman" w:cs="Times New Roman" w:eastAsia="Times New Roman" w:hAnsi="Times New Roman"/>
          <w:sz w:val="14"/>
          <w:szCs w:val="14"/>
          <w:color w:val="auto"/>
        </w:rPr>
        <w:t>Our business is subject to a number of risks of which you should be aware before making an investment decision. These risks are discussed more fully in the section titled “Risk Factors” immediately following this prospectus summary and under similar headings in our filings with the SEC which are incorporated by reference in this prospectus. These risks include the following:</w:t>
      </w:r>
    </w:p>
    <w:p>
      <w:pPr>
        <w:spacing w:after="0" w:line="63" w:lineRule="exact"/>
        <w:rPr>
          <w:sz w:val="20"/>
          <w:szCs w:val="20"/>
          <w:color w:val="auto"/>
        </w:rPr>
      </w:pPr>
    </w:p>
    <w:p>
      <w:pPr>
        <w:ind w:left="2200" w:right="459" w:hanging="324"/>
        <w:spacing w:after="0" w:line="269"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recurring losses from operations raise substantial doubt regarding our ability to continue as a going concern. Company management has obtained and continues to pursue additional financing and cost-management initiatives to support future operations, however such funding may not be available on acceptable terms or at all.</w:t>
      </w:r>
    </w:p>
    <w:p>
      <w:pPr>
        <w:spacing w:after="0" w:line="62" w:lineRule="exact"/>
        <w:rPr>
          <w:rFonts w:ascii="Times New Roman" w:cs="Times New Roman" w:eastAsia="Times New Roman" w:hAnsi="Times New Roman"/>
          <w:sz w:val="14"/>
          <w:szCs w:val="14"/>
          <w:color w:val="auto"/>
        </w:rPr>
      </w:pPr>
    </w:p>
    <w:p>
      <w:pPr>
        <w:ind w:left="2200" w:right="559" w:hanging="324"/>
        <w:spacing w:after="0" w:line="28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biopharmaceutical company, have no history of generating commercial revenue, have a history of operating losses and may never achieve or maintain profitability.</w:t>
      </w:r>
    </w:p>
    <w:p>
      <w:pPr>
        <w:spacing w:after="0" w:line="50" w:lineRule="exact"/>
        <w:rPr>
          <w:rFonts w:ascii="Times New Roman" w:cs="Times New Roman" w:eastAsia="Times New Roman" w:hAnsi="Times New Roman"/>
          <w:sz w:val="14"/>
          <w:szCs w:val="14"/>
          <w:color w:val="auto"/>
        </w:rPr>
      </w:pPr>
    </w:p>
    <w:p>
      <w:pPr>
        <w:ind w:left="2200" w:right="639" w:hanging="324"/>
        <w:spacing w:after="0" w:line="28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do not have, and may never develop, any U.S Food and Drug Administration, or FDA,-approved or commercialized products.</w:t>
      </w:r>
    </w:p>
    <w:p>
      <w:pPr>
        <w:spacing w:after="0" w:line="50" w:lineRule="exact"/>
        <w:rPr>
          <w:rFonts w:ascii="Times New Roman" w:cs="Times New Roman" w:eastAsia="Times New Roman" w:hAnsi="Times New Roman"/>
          <w:sz w:val="14"/>
          <w:szCs w:val="14"/>
          <w:color w:val="auto"/>
        </w:rPr>
      </w:pPr>
    </w:p>
    <w:p>
      <w:pPr>
        <w:ind w:left="2200" w:right="479" w:hanging="324"/>
        <w:spacing w:after="0" w:line="269"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substantially dependent on the success of our drug product candidates, and significant additional research and development and clinical testing will be required before we can potentially seek regulatory approval for or commercialize any of our drug product candidates.</w:t>
      </w:r>
    </w:p>
    <w:p>
      <w:pPr>
        <w:spacing w:after="0" w:line="62" w:lineRule="exact"/>
        <w:rPr>
          <w:rFonts w:ascii="Times New Roman" w:cs="Times New Roman" w:eastAsia="Times New Roman" w:hAnsi="Times New Roman"/>
          <w:sz w:val="14"/>
          <w:szCs w:val="14"/>
          <w:color w:val="auto"/>
        </w:rPr>
      </w:pPr>
    </w:p>
    <w:p>
      <w:pPr>
        <w:ind w:left="2200" w:right="859" w:hanging="324"/>
        <w:spacing w:after="0" w:line="28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 history of commercializing biologic products, which may make it difficult to evaluate the prospects for our future viability.</w:t>
      </w:r>
    </w:p>
    <w:p>
      <w:pPr>
        <w:spacing w:after="0" w:line="50" w:lineRule="exact"/>
        <w:rPr>
          <w:rFonts w:ascii="Times New Roman" w:cs="Times New Roman" w:eastAsia="Times New Roman" w:hAnsi="Times New Roman"/>
          <w:sz w:val="14"/>
          <w:szCs w:val="14"/>
          <w:color w:val="auto"/>
        </w:rPr>
      </w:pPr>
    </w:p>
    <w:p>
      <w:pPr>
        <w:ind w:left="2200" w:hanging="324"/>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preclinical studies or early clinical trials may not be indicative of results obtained in later trials.</w:t>
      </w:r>
    </w:p>
    <w:p>
      <w:pPr>
        <w:spacing w:after="0" w:line="104" w:lineRule="exact"/>
        <w:rPr>
          <w:rFonts w:ascii="Times New Roman" w:cs="Times New Roman" w:eastAsia="Times New Roman" w:hAnsi="Times New Roman"/>
          <w:sz w:val="14"/>
          <w:szCs w:val="14"/>
          <w:color w:val="auto"/>
        </w:rPr>
      </w:pPr>
    </w:p>
    <w:p>
      <w:pPr>
        <w:ind w:left="2200" w:right="479" w:hanging="324"/>
        <w:spacing w:after="0" w:line="269"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derive results and data for CUE-221 from clinical trials conducted by UBI/Ascendant in China; our access to the clinical results and data may be limited and there is no assurance that the clinical data from any such trials will be accepted or considered by the FDA, or other comparable regulatory authorities.</w:t>
      </w:r>
    </w:p>
    <w:p>
      <w:pPr>
        <w:spacing w:after="0" w:line="62" w:lineRule="exact"/>
        <w:rPr>
          <w:rFonts w:ascii="Times New Roman" w:cs="Times New Roman" w:eastAsia="Times New Roman" w:hAnsi="Times New Roman"/>
          <w:sz w:val="14"/>
          <w:szCs w:val="14"/>
          <w:color w:val="auto"/>
        </w:rPr>
      </w:pPr>
    </w:p>
    <w:p>
      <w:pPr>
        <w:ind w:left="2200" w:right="619" w:hanging="324"/>
        <w:spacing w:after="0" w:line="28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plan to continue to seek collaborations or strategic alliances. However, we may not be able to establish such relationships, and relationships we have established may not provide the expected benefits.</w:t>
      </w:r>
    </w:p>
    <w:p>
      <w:pPr>
        <w:spacing w:after="0" w:line="50" w:lineRule="exact"/>
        <w:rPr>
          <w:rFonts w:ascii="Times New Roman" w:cs="Times New Roman" w:eastAsia="Times New Roman" w:hAnsi="Times New Roman"/>
          <w:sz w:val="14"/>
          <w:szCs w:val="14"/>
          <w:color w:val="auto"/>
        </w:rPr>
      </w:pPr>
    </w:p>
    <w:p>
      <w:pPr>
        <w:ind w:left="2200" w:right="659" w:hanging="324"/>
        <w:spacing w:after="0" w:line="269"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efforts to identify additional drug product candidates. Due to our limited resources and access to capital, we must prioritize the development of certain drug product candidates; these decisions may prove to be wrong and may adversely affect our business.</w:t>
      </w:r>
    </w:p>
    <w:p>
      <w:pPr>
        <w:spacing w:after="0" w:line="62" w:lineRule="exact"/>
        <w:rPr>
          <w:rFonts w:ascii="Times New Roman" w:cs="Times New Roman" w:eastAsia="Times New Roman" w:hAnsi="Times New Roman"/>
          <w:sz w:val="14"/>
          <w:szCs w:val="14"/>
          <w:color w:val="auto"/>
        </w:rPr>
      </w:pPr>
    </w:p>
    <w:p>
      <w:pPr>
        <w:ind w:left="2200" w:right="359" w:hanging="324"/>
        <w:spacing w:after="0" w:line="269"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from other biotechnology and pharmaceutical companies, and our operating results will suffer if we fail to compete effectively. Our competitors may be able to develop other compounds or drugs that are able to achieve similar or better results than our drug product candidates.</w:t>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3553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98465" cy="3553460"/>
                    </a:xfrm>
                    <a:prstGeom prst="rect">
                      <a:avLst/>
                    </a:prstGeom>
                    <a:noFill/>
                  </pic:spPr>
                </pic:pic>
              </a:graphicData>
            </a:graphic>
          </wp:anchor>
        </w:drawing>
      </w:r>
    </w:p>
    <w:p>
      <w:pPr>
        <w:spacing w:after="0" w:line="372" w:lineRule="exact"/>
        <w:rPr>
          <w:sz w:val="20"/>
          <w:szCs w:val="20"/>
          <w:color w:val="auto"/>
        </w:rPr>
      </w:pPr>
    </w:p>
    <w:p>
      <w:pPr>
        <w:ind w:left="2200" w:right="359" w:hanging="324"/>
        <w:spacing w:after="0" w:line="269"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conduct our clinical trials. If these third parties do not successfully carry out their contractual duties or meet expected deadlines, we may not be able to successfully complete development of, obtain regulatory approval for, or commercialize our drug product candidates and our business could be substantially harmed.</w:t>
      </w:r>
    </w:p>
    <w:p>
      <w:pPr>
        <w:spacing w:after="0" w:line="62" w:lineRule="exact"/>
        <w:rPr>
          <w:rFonts w:ascii="Times New Roman" w:cs="Times New Roman" w:eastAsia="Times New Roman" w:hAnsi="Times New Roman"/>
          <w:sz w:val="14"/>
          <w:szCs w:val="14"/>
          <w:color w:val="auto"/>
        </w:rPr>
      </w:pPr>
    </w:p>
    <w:p>
      <w:pPr>
        <w:ind w:left="2200" w:hanging="324"/>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completely on third parties to manufacture our preclinical and clinical drug supplies for our drug product candidates.</w:t>
      </w:r>
    </w:p>
    <w:p>
      <w:pPr>
        <w:spacing w:after="0" w:line="104" w:lineRule="exact"/>
        <w:rPr>
          <w:rFonts w:ascii="Times New Roman" w:cs="Times New Roman" w:eastAsia="Times New Roman" w:hAnsi="Times New Roman"/>
          <w:sz w:val="14"/>
          <w:szCs w:val="14"/>
          <w:color w:val="auto"/>
        </w:rPr>
      </w:pPr>
    </w:p>
    <w:p>
      <w:pPr>
        <w:ind w:left="2200" w:right="459" w:hanging="324"/>
        <w:spacing w:after="0" w:line="286"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or our licensor(s) are unable to protect our or its intellectual property, then our financial condition, results of operations and the value of our technology and potential products could be adversely affected.</w:t>
      </w:r>
    </w:p>
    <w:p>
      <w:pPr>
        <w:spacing w:after="0" w:line="50" w:lineRule="exact"/>
        <w:rPr>
          <w:rFonts w:ascii="Times New Roman" w:cs="Times New Roman" w:eastAsia="Times New Roman" w:hAnsi="Times New Roman"/>
          <w:sz w:val="14"/>
          <w:szCs w:val="14"/>
          <w:color w:val="auto"/>
        </w:rPr>
      </w:pPr>
    </w:p>
    <w:p>
      <w:pPr>
        <w:ind w:left="2200" w:right="619" w:hanging="324"/>
        <w:spacing w:after="0" w:line="269"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or any collaborators we may have, obtain marketing approvals for any of our drug product candidates,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62" w:lineRule="exact"/>
        <w:rPr>
          <w:rFonts w:ascii="Times New Roman" w:cs="Times New Roman" w:eastAsia="Times New Roman" w:hAnsi="Times New Roman"/>
          <w:sz w:val="14"/>
          <w:szCs w:val="14"/>
          <w:color w:val="auto"/>
        </w:rPr>
      </w:pPr>
    </w:p>
    <w:p>
      <w:pPr>
        <w:ind w:left="2200" w:right="439" w:hanging="324"/>
        <w:spacing w:after="0" w:line="269"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substantial additional financing to support our growth and ongoing operations. Additional capital may be difficult to obtain, restrict our operations, require us to relinquish rights to our technologies or drug product candidates, encumber our assets and result in ongoing debt service cost, or result in additional dilution to our stockholders.</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95" w:lineRule="exact"/>
        <w:rPr>
          <w:sz w:val="20"/>
          <w:szCs w:val="20"/>
          <w:color w:val="auto"/>
        </w:rPr>
      </w:pPr>
    </w:p>
    <w:p>
      <w:pPr>
        <w:ind w:left="1460" w:right="439" w:firstLine="334"/>
        <w:spacing w:after="0" w:line="258"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or the Exchange Act. For as long as we remain a smaller reporting company, we may take advantage of certain exemptions from various public company reporting requirements,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5" w:lineRule="exact"/>
        <w:rPr>
          <w:sz w:val="20"/>
          <w:szCs w:val="20"/>
          <w:color w:val="auto"/>
        </w:rPr>
      </w:pPr>
    </w:p>
    <w:p>
      <w:pPr>
        <w:ind w:left="1460" w:right="799" w:firstLine="334"/>
        <w:spacing w:after="0" w:line="263" w:lineRule="auto"/>
        <w:rPr>
          <w:sz w:val="20"/>
          <w:szCs w:val="20"/>
          <w:color w:val="auto"/>
        </w:rPr>
      </w:pPr>
      <w:r>
        <w:rPr>
          <w:rFonts w:ascii="Times New Roman" w:cs="Times New Roman" w:eastAsia="Times New Roman" w:hAnsi="Times New Roman"/>
          <w:sz w:val="14"/>
          <w:szCs w:val="14"/>
          <w:color w:val="auto"/>
        </w:rPr>
        <w:t>We were incorporated as Imagen Biopharma, Inc. in Delaware on December 31, 2014. In October 2016, we changed our name to Cue Biopharma, Inc. The address of our corporate headquarters is 40 Guest Street, Boston, Massachusetts 02135 and our telephone number is</w:t>
      </w:r>
    </w:p>
    <w:p>
      <w:pPr>
        <w:spacing w:after="0" w:line="1" w:lineRule="exact"/>
        <w:rPr>
          <w:sz w:val="20"/>
          <w:szCs w:val="20"/>
          <w:color w:val="auto"/>
        </w:rPr>
      </w:pPr>
    </w:p>
    <w:p>
      <w:pPr>
        <w:ind w:left="1460" w:right="479" w:firstLine="2"/>
        <w:spacing w:after="0" w:line="265" w:lineRule="auto"/>
        <w:tabs>
          <w:tab w:leader="none" w:pos="180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949-2680. Our website address is www.cuebiopharma.com. Our website and the information contained on, or that can be accessed through, our website will not be deemed to be incorporated by reference in, and are not considered part of, this prospectus.</w:t>
      </w:r>
    </w:p>
    <w:p>
      <w:pPr>
        <w:spacing w:after="0" w:line="23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1897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98465" cy="1897380"/>
                    </a:xfrm>
                    <a:prstGeom prst="rect">
                      <a:avLst/>
                    </a:prstGeom>
                    <a:noFill/>
                  </pic:spPr>
                </pic:pic>
              </a:graphicData>
            </a:graphic>
          </wp:anchor>
        </w:drawing>
      </w:r>
    </w:p>
    <w:p>
      <w:pPr>
        <w:spacing w:after="0" w:line="3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9" w:lineRule="exact"/>
        <w:rPr>
          <w:sz w:val="20"/>
          <w:szCs w:val="20"/>
          <w:color w:val="auto"/>
        </w:rPr>
      </w:pPr>
    </w:p>
    <w:p>
      <w:pPr>
        <w:jc w:val="both"/>
        <w:ind w:left="4640" w:right="499" w:hanging="3167"/>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Common Stock Offered by the Selling Stockholders </w:t>
      </w:r>
      <w:r>
        <w:rPr>
          <w:rFonts w:ascii="Times New Roman" w:cs="Times New Roman" w:eastAsia="Times New Roman" w:hAnsi="Times New Roman"/>
          <w:sz w:val="14"/>
          <w:szCs w:val="14"/>
          <w:color w:val="auto"/>
        </w:rPr>
        <w:t>4,090,908 Shares (consisting of 2,727,272 shares of our common stock issuable upon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exercise of the Pre-Funded Warrants and 1,363,636 shares of our common stock issuable upon exercise of the Warrants).</w:t>
      </w:r>
    </w:p>
    <w:p>
      <w:pPr>
        <w:spacing w:after="0" w:line="59"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The selling stockholders will receive all of the proceeds from the sale of the Shares</w:t>
            </w:r>
          </w:p>
        </w:tc>
      </w:tr>
      <w:tr>
        <w:trPr>
          <w:trHeight w:val="170"/>
        </w:trPr>
        <w:tc>
          <w:tcPr>
            <w:tcW w:w="2680" w:type="dxa"/>
            <w:vAlign w:val="bottom"/>
          </w:tcPr>
          <w:p>
            <w:pPr>
              <w:spacing w:after="0"/>
              <w:rPr>
                <w:sz w:val="14"/>
                <w:szCs w:val="14"/>
                <w:color w:val="auto"/>
              </w:rPr>
            </w:pP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hereunder. Accordingly, we will not receive any of the proceeds from the sale of the Shares</w:t>
            </w:r>
          </w:p>
        </w:tc>
      </w:tr>
      <w:tr>
        <w:trPr>
          <w:trHeight w:val="170"/>
        </w:trPr>
        <w:tc>
          <w:tcPr>
            <w:tcW w:w="2680" w:type="dxa"/>
            <w:vAlign w:val="bottom"/>
          </w:tcPr>
          <w:p>
            <w:pPr>
              <w:spacing w:after="0"/>
              <w:rPr>
                <w:sz w:val="14"/>
                <w:szCs w:val="14"/>
                <w:color w:val="auto"/>
              </w:rPr>
            </w:pP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 this offering; however, we will receive proceeds from any cash exercise of the Warrants.</w:t>
            </w:r>
          </w:p>
        </w:tc>
      </w:tr>
      <w:tr>
        <w:trPr>
          <w:trHeight w:val="184"/>
        </w:trPr>
        <w:tc>
          <w:tcPr>
            <w:tcW w:w="2680" w:type="dxa"/>
            <w:vAlign w:val="bottom"/>
          </w:tcPr>
          <w:p>
            <w:pPr>
              <w:spacing w:after="0"/>
              <w:rPr>
                <w:sz w:val="15"/>
                <w:szCs w:val="15"/>
                <w:color w:val="auto"/>
              </w:rPr>
            </w:pP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See “Use of Proceeds.”</w:t>
            </w:r>
          </w:p>
        </w:tc>
      </w:tr>
      <w:tr>
        <w:trPr>
          <w:trHeight w:val="251"/>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An investment in our common stock involves a high degree of risk. See the information</w:t>
            </w:r>
          </w:p>
        </w:tc>
      </w:tr>
      <w:tr>
        <w:trPr>
          <w:trHeight w:val="170"/>
        </w:trPr>
        <w:tc>
          <w:tcPr>
            <w:tcW w:w="2680" w:type="dxa"/>
            <w:vAlign w:val="bottom"/>
          </w:tcPr>
          <w:p>
            <w:pPr>
              <w:spacing w:after="0"/>
              <w:rPr>
                <w:sz w:val="14"/>
                <w:szCs w:val="14"/>
                <w:color w:val="auto"/>
              </w:rPr>
            </w:pP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contained in or incorporated by reference in the section titled “Risk Factors” and under</w:t>
            </w:r>
          </w:p>
        </w:tc>
      </w:tr>
      <w:tr>
        <w:trPr>
          <w:trHeight w:val="170"/>
        </w:trPr>
        <w:tc>
          <w:tcPr>
            <w:tcW w:w="2680" w:type="dxa"/>
            <w:vAlign w:val="bottom"/>
          </w:tcPr>
          <w:p>
            <w:pPr>
              <w:spacing w:after="0"/>
              <w:rPr>
                <w:sz w:val="14"/>
                <w:szCs w:val="14"/>
                <w:color w:val="auto"/>
              </w:rPr>
            </w:pP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similar headings in the other documents that are incorporated by reference herein, as well</w:t>
            </w:r>
          </w:p>
        </w:tc>
      </w:tr>
      <w:tr>
        <w:trPr>
          <w:trHeight w:val="184"/>
        </w:trPr>
        <w:tc>
          <w:tcPr>
            <w:tcW w:w="2680" w:type="dxa"/>
            <w:vAlign w:val="bottom"/>
          </w:tcPr>
          <w:p>
            <w:pPr>
              <w:spacing w:after="0"/>
              <w:rPr>
                <w:sz w:val="15"/>
                <w:szCs w:val="15"/>
                <w:color w:val="auto"/>
              </w:rPr>
            </w:pP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as the other information included in or incorporated by reference in this prospectus.</w:t>
            </w:r>
          </w:p>
        </w:tc>
      </w:tr>
      <w:tr>
        <w:trPr>
          <w:trHeight w:val="265"/>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Nasdaq Capital Market Symbol</w:t>
            </w:r>
          </w:p>
        </w:tc>
        <w:tc>
          <w:tcPr>
            <w:tcW w:w="5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“CUE.”</w:t>
            </w:r>
          </w:p>
        </w:tc>
      </w:tr>
      <w:tr>
        <w:trPr>
          <w:trHeight w:val="144"/>
        </w:trPr>
        <w:tc>
          <w:tcPr>
            <w:tcW w:w="2680" w:type="dxa"/>
            <w:vAlign w:val="bottom"/>
            <w:tcBorders>
              <w:bottom w:val="single" w:sz="8" w:color="auto"/>
            </w:tcBorders>
          </w:tcPr>
          <w:p>
            <w:pPr>
              <w:spacing w:after="0"/>
              <w:rPr>
                <w:sz w:val="12"/>
                <w:szCs w:val="12"/>
                <w:color w:val="auto"/>
              </w:rPr>
            </w:pPr>
          </w:p>
        </w:tc>
        <w:tc>
          <w:tcPr>
            <w:tcW w:w="5980" w:type="dxa"/>
            <w:vAlign w:val="bottom"/>
            <w:tcBorders>
              <w:bottom w:val="single" w:sz="8" w:color="auto"/>
            </w:tcBorders>
          </w:tcPr>
          <w:p>
            <w:pPr>
              <w:spacing w:after="0"/>
              <w:rPr>
                <w:sz w:val="12"/>
                <w:szCs w:val="12"/>
                <w:color w:val="auto"/>
              </w:rPr>
            </w:pPr>
          </w:p>
        </w:tc>
      </w:tr>
      <w:tr>
        <w:trPr>
          <w:trHeight w:val="281"/>
        </w:trPr>
        <w:tc>
          <w:tcPr>
            <w:tcW w:w="2680" w:type="dxa"/>
            <w:vAlign w:val="bottom"/>
          </w:tcPr>
          <w:p>
            <w:pPr>
              <w:spacing w:after="0"/>
              <w:rPr>
                <w:sz w:val="24"/>
                <w:szCs w:val="24"/>
                <w:color w:val="auto"/>
              </w:rPr>
            </w:pPr>
          </w:p>
        </w:tc>
        <w:tc>
          <w:tcPr>
            <w:tcW w:w="59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6</w:t>
            </w:r>
          </w:p>
        </w:tc>
      </w:tr>
    </w:tbl>
    <w:p>
      <w:pPr>
        <w:sectPr>
          <w:pgSz w:w="11900" w:h="16838" w:orient="portrait"/>
          <w:cols w:equalWidth="0" w:num="1">
            <w:col w:w="10159"/>
          </w:cols>
          <w:pgMar w:left="300" w:top="38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review the risks and uncertainties described under the heading “Risk Factors” contained in our Annual Report on Form 10-K for the fiscal year ended December 31, 2025, as updated by our quarterly and other reports and documents that are incorporated by reference into this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“Cautionary Note Regarding Forward-Looking Statements.”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0" w:lineRule="exact"/>
        <w:rPr>
          <w:sz w:val="20"/>
          <w:szCs w:val="20"/>
          <w:color w:val="auto"/>
        </w:rPr>
      </w:pPr>
    </w:p>
    <w:p>
      <w:pPr>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“forward-looking statements” within the meaning of Section 27A of the Securities Act, and Section 21E of the Exchange Act. Forward-looking statements, which are based on certain assumptions and describe our future plans, strategies and expectations, can generally be identified by the use of forward-looking terms such as “believe,” “expect,” “may,” “will,” “should,” “would,” “could,” “seek,” “intend,” “plan,” “goal,” “project,” “estimate,” “anticipate,” “strategy,” “future,” “likely” or other comparable terms. All statements, other than statements of historical fact, contained in this prospectus and the documents incorporated by reference herein, including statements regarding our strategy, future operations, future financial position, future revenue, projected costs, prospects, plans and objectives of management, are forward-looking statements.</w:t>
      </w:r>
    </w:p>
    <w:p>
      <w:pPr>
        <w:spacing w:after="0" w:line="145" w:lineRule="exact"/>
        <w:rPr>
          <w:sz w:val="20"/>
          <w:szCs w:val="20"/>
          <w:color w:val="auto"/>
        </w:rPr>
      </w:pPr>
    </w:p>
    <w:p>
      <w:pPr>
        <w:ind w:left="1320" w:right="399" w:firstLine="346"/>
        <w:spacing w:after="0" w:line="286" w:lineRule="auto"/>
        <w:rPr>
          <w:sz w:val="20"/>
          <w:szCs w:val="20"/>
          <w:color w:val="auto"/>
        </w:rPr>
      </w:pPr>
      <w:r>
        <w:rPr>
          <w:rFonts w:ascii="Times New Roman" w:cs="Times New Roman" w:eastAsia="Times New Roman" w:hAnsi="Times New Roman"/>
          <w:sz w:val="14"/>
          <w:szCs w:val="14"/>
          <w:color w:val="auto"/>
        </w:rPr>
        <w:t>The forward-looking statements in this prospectus and the documents incorporated by reference herein include, among other things, statements about:</w:t>
      </w:r>
    </w:p>
    <w:p>
      <w:pPr>
        <w:spacing w:after="0" w:line="51" w:lineRule="exact"/>
        <w:rPr>
          <w:sz w:val="20"/>
          <w:szCs w:val="20"/>
          <w:color w:val="auto"/>
        </w:rPr>
      </w:pPr>
    </w:p>
    <w:p>
      <w:pPr>
        <w:ind w:left="2080" w:right="239" w:hanging="337"/>
        <w:spacing w:after="0" w:line="286"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ongoing and planned preclinical studies and any future clinical trials and our research and development programs;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 for additional financing;</w:t>
      </w:r>
    </w:p>
    <w:p>
      <w:pPr>
        <w:spacing w:after="0" w:line="104" w:lineRule="exact"/>
        <w:rPr>
          <w:rFonts w:ascii="Times New Roman" w:cs="Times New Roman" w:eastAsia="Times New Roman" w:hAnsi="Times New Roman"/>
          <w:sz w:val="14"/>
          <w:szCs w:val="14"/>
          <w:color w:val="auto"/>
        </w:rPr>
      </w:pPr>
    </w:p>
    <w:p>
      <w:pPr>
        <w:ind w:left="2080" w:right="539" w:hanging="337"/>
        <w:spacing w:after="0" w:line="286"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fund our projected operating requirements with our existing cash resources and the period in which we expect that such cash resources will enable us to fund such operating requirements;</w:t>
      </w:r>
    </w:p>
    <w:p>
      <w:pPr>
        <w:spacing w:after="0" w:line="50" w:lineRule="exact"/>
        <w:rPr>
          <w:rFonts w:ascii="Times New Roman" w:cs="Times New Roman" w:eastAsia="Times New Roman" w:hAnsi="Times New Roman"/>
          <w:sz w:val="14"/>
          <w:szCs w:val="14"/>
          <w:color w:val="auto"/>
        </w:rPr>
      </w:pPr>
    </w:p>
    <w:p>
      <w:pPr>
        <w:ind w:left="2080" w:right="259" w:hanging="337"/>
        <w:spacing w:after="0" w:line="269"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develop our drug product candidates, including our prioritization of our autoimmune programs, including CUE-221 (formerly known as Ascendant-221), CUE-401 and the CUE-500 series (excluding CUE-501, which has been licensed to Boehringer Ingelheim International GmbH);</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submit applications for, and to obtain and maintain regulatory approvals for, our drug product candidates;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our drug product candidates;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and clinical utility of our drug product candidates, if approved;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the potential market opportunity for our drug product candidates;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position;</w:t>
      </w:r>
    </w:p>
    <w:p>
      <w:pPr>
        <w:spacing w:after="0" w:line="104"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additional products, drug product candidates or technologies with significant commercial potential that are consistent with our commercial objectives;</w:t>
      </w:r>
    </w:p>
    <w:p>
      <w:pPr>
        <w:spacing w:after="0" w:line="50" w:lineRule="exact"/>
        <w:rPr>
          <w:rFonts w:ascii="Times New Roman" w:cs="Times New Roman" w:eastAsia="Times New Roman" w:hAnsi="Times New Roman"/>
          <w:sz w:val="14"/>
          <w:szCs w:val="14"/>
          <w:color w:val="auto"/>
        </w:rPr>
      </w:pPr>
    </w:p>
    <w:p>
      <w:pPr>
        <w:ind w:left="2080" w:right="379" w:hanging="337"/>
        <w:spacing w:after="0" w:line="286"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 general economic and market conditions, inflation, and the imposition of new or revised global trade tariffs;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establish collaborations or obtain additional funding.</w:t>
      </w:r>
    </w:p>
    <w:p>
      <w:pPr>
        <w:spacing w:after="0" w:line="178" w:lineRule="exact"/>
        <w:rPr>
          <w:sz w:val="20"/>
          <w:szCs w:val="20"/>
          <w:color w:val="auto"/>
        </w:rPr>
      </w:pPr>
    </w:p>
    <w:p>
      <w:pPr>
        <w:ind w:left="1320" w:right="319" w:firstLine="346"/>
        <w:spacing w:after="0" w:line="269" w:lineRule="auto"/>
        <w:rPr>
          <w:sz w:val="20"/>
          <w:szCs w:val="20"/>
          <w:color w:val="auto"/>
        </w:rPr>
      </w:pPr>
      <w:r>
        <w:rPr>
          <w:rFonts w:ascii="Times New Roman" w:cs="Times New Roman" w:eastAsia="Times New Roman" w:hAnsi="Times New Roman"/>
          <w:sz w:val="14"/>
          <w:szCs w:val="14"/>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9" w:lineRule="auto"/>
        <w:rPr>
          <w:sz w:val="20"/>
          <w:szCs w:val="20"/>
          <w:color w:val="auto"/>
        </w:rPr>
      </w:pPr>
      <w:r>
        <w:rPr>
          <w:rFonts w:ascii="Times New Roman" w:cs="Times New Roman" w:eastAsia="Times New Roman" w:hAnsi="Times New Roman"/>
          <w:sz w:val="14"/>
          <w:szCs w:val="14"/>
          <w:color w:val="auto"/>
        </w:rPr>
        <w:t>we make. See the “Risk Factors” section included in our periodic reports filed with the SEC and in the other documents incorporated by reference in this prospectus for more information. Our forward-looking statements do not reflect the potential impact of any future acquisitions, mergers, dispositions, collaborations, joint ventures or investments we may make or enter into.</w:t>
      </w:r>
    </w:p>
    <w:p>
      <w:pPr>
        <w:spacing w:after="0" w:line="137" w:lineRule="exact"/>
        <w:rPr>
          <w:sz w:val="20"/>
          <w:szCs w:val="20"/>
          <w:color w:val="auto"/>
        </w:rPr>
      </w:pPr>
    </w:p>
    <w:p>
      <w:pPr>
        <w:ind w:left="1320" w:right="359" w:firstLine="346"/>
        <w:spacing w:after="0" w:line="264" w:lineRule="auto"/>
        <w:rPr>
          <w:sz w:val="20"/>
          <w:szCs w:val="20"/>
          <w:color w:val="auto"/>
        </w:rPr>
      </w:pPr>
      <w:r>
        <w:rPr>
          <w:rFonts w:ascii="Times New Roman" w:cs="Times New Roman" w:eastAsia="Times New Roman" w:hAnsi="Times New Roman"/>
          <w:sz w:val="14"/>
          <w:szCs w:val="14"/>
          <w:color w:val="auto"/>
        </w:rPr>
        <w:t>You should read this prospectus and the documents incorporated by reference herein and therein completely and with the understanding that our actual future results may be materially different from what we expect. The forward-looking statements contained in this prospectus or incorporated by reference herein speak only as of the date on which they are made, and we do not assume any obligation to update any forward-looking statements, whether as a result of new information, future events or otherwise, except as required by applicable law.</w:t>
      </w:r>
    </w:p>
    <w:p>
      <w:pPr>
        <w:spacing w:after="0" w:line="140" w:lineRule="exact"/>
        <w:rPr>
          <w:sz w:val="20"/>
          <w:szCs w:val="20"/>
          <w:color w:val="auto"/>
        </w:rPr>
      </w:pPr>
    </w:p>
    <w:p>
      <w:pPr>
        <w:ind w:left="1320" w:right="259" w:firstLine="346"/>
        <w:spacing w:after="0" w:line="257" w:lineRule="auto"/>
        <w:rPr>
          <w:sz w:val="20"/>
          <w:szCs w:val="20"/>
          <w:color w:val="auto"/>
        </w:rPr>
      </w:pPr>
      <w:r>
        <w:rPr>
          <w:rFonts w:ascii="Times New Roman" w:cs="Times New Roman" w:eastAsia="Times New Roman" w:hAnsi="Times New Roman"/>
          <w:sz w:val="14"/>
          <w:szCs w:val="14"/>
          <w:color w:val="auto"/>
        </w:rPr>
        <w:t>This prospectus incorporates by reference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incorporated by reference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drug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and we are responsible for such information, no independent source has verified such assumptions.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ind w:left="1320" w:right="679" w:firstLine="346"/>
        <w:spacing w:after="0" w:line="286" w:lineRule="auto"/>
        <w:rPr>
          <w:sz w:val="20"/>
          <w:szCs w:val="20"/>
          <w:color w:val="auto"/>
        </w:rPr>
      </w:pPr>
      <w:r>
        <w:rPr>
          <w:rFonts w:ascii="Times New Roman" w:cs="Times New Roman" w:eastAsia="Times New Roman" w:hAnsi="Times New Roman"/>
          <w:sz w:val="14"/>
          <w:szCs w:val="14"/>
          <w:color w:val="auto"/>
        </w:rPr>
        <w:t>The selling stockholders will receive all of the proceeds from the sale of the Shares hereunder. Accordingly, we will not receive any of the proceeds from the sale of the Shares in this offering; however, we will receive proceeds from any cash exercise of the Warrants.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0"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We have prepared this prospectus to allow the selling stockholders to offer and sell from time to time up to 4,090,908 shares of our common stock for their own account, consisting of (i) 2,727,272 shares of our common stock issuable to the selling stockholders upon the exercise of the Pre-Funded Warrants and (ii) 1,363,636 shares of our common stock issuable to the selling stockholders upon exercise of the Warrants, each without giving effect to any beneficial ownership limitation contained in any Pre-Funded Warrant or Warrant.</w:t>
      </w:r>
    </w:p>
    <w:p>
      <w:pPr>
        <w:spacing w:after="0" w:line="140"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We are registering the offer and sale of the Shares to satisfy certain registration obligations that we granted the selling stockholders in connection with the purchase of the Shares pursuant to the Registration Rights Agreement. Under the terms of the Registration Rights Agreement, we agreed to file a registration statement covering the resale of the Shares by the Filing Deadline, and we agreed to use commercially reasonable efforts to cause such registration statement to be declared effective as soon as reasonably practicable. We have also agreed to use commercially reasonable efforts to cause the registration statement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145" w:lineRule="exact"/>
        <w:rPr>
          <w:sz w:val="20"/>
          <w:szCs w:val="20"/>
          <w:color w:val="auto"/>
        </w:rPr>
      </w:pPr>
    </w:p>
    <w:p>
      <w:pPr>
        <w:ind w:left="1320" w:right="259" w:firstLine="346"/>
        <w:spacing w:after="0" w:line="258" w:lineRule="auto"/>
        <w:rPr>
          <w:sz w:val="20"/>
          <w:szCs w:val="20"/>
          <w:color w:val="auto"/>
        </w:rPr>
      </w:pPr>
      <w:r>
        <w:rPr>
          <w:rFonts w:ascii="Times New Roman" w:cs="Times New Roman" w:eastAsia="Times New Roman" w:hAnsi="Times New Roman"/>
          <w:sz w:val="14"/>
          <w:szCs w:val="14"/>
          <w:color w:val="auto"/>
        </w:rPr>
        <w:t>The Pre-Funded-Warrants provide that we may not effect the exercise of any such warrants, and a holder will not be entitled to exercise any portion of any such warrant that, upon giving effect to such exercise, would cause: (i) the aggregate number of shares of our common stock beneficially owned by such holder (together with its affiliates) to exceed 4.99% or 9.99%, as elected by the holder, of the number of shares of our common stock outstanding immediately after giving effect to the exercise; or (ii) the combined voting power of our securities beneficially owned by such holder (together with its affiliates) to exceed 4.99% or 9.99%, as elected by the holder, of the combined voting power of all of our securities outstanding immediately after giving effect to the exercise, as such percentage ownership is determined in accordance with the terms of the applicable warrant, which percentage may be changed at the holder’s election to a higher percentage not in excess of 19.99% upon 61 days’ notice to us.</w:t>
      </w:r>
    </w:p>
    <w:p>
      <w:pPr>
        <w:spacing w:after="0" w:line="145"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The Warrants provide that a holder of Warrants (together with its affiliates) may not exercise any portion of a Warrant to the extent that the holder would beneficially own more than 4.99% or 9.99%, at the election of the holder, of our outstanding common stock immediately after exercise, which percentage may be changed at the holder’s election to a higher percentage not in excess of 19.99% upon 61 days’ notice to us.</w:t>
      </w:r>
    </w:p>
    <w:p>
      <w:pPr>
        <w:spacing w:after="0" w:line="137" w:lineRule="exact"/>
        <w:rPr>
          <w:sz w:val="20"/>
          <w:szCs w:val="20"/>
          <w:color w:val="auto"/>
        </w:rPr>
      </w:pPr>
    </w:p>
    <w:p>
      <w:pPr>
        <w:ind w:left="1320" w:right="499" w:firstLine="346"/>
        <w:spacing w:after="0" w:line="286" w:lineRule="auto"/>
        <w:rPr>
          <w:sz w:val="20"/>
          <w:szCs w:val="20"/>
          <w:color w:val="auto"/>
        </w:rPr>
      </w:pPr>
      <w:r>
        <w:rPr>
          <w:rFonts w:ascii="Times New Roman" w:cs="Times New Roman" w:eastAsia="Times New Roman" w:hAnsi="Times New Roman"/>
          <w:sz w:val="14"/>
          <w:szCs w:val="14"/>
          <w:color w:val="auto"/>
        </w:rPr>
        <w:t>The selling stockholders have not had any material relationship with us within the past three years, except for the ownership of our securities, other than Shao-Lee Lin who has served as our President and Chief Executive Officer, and as a member of our Board, since April 2026.</w:t>
      </w:r>
    </w:p>
    <w:p>
      <w:pPr>
        <w:spacing w:after="0" w:line="125" w:lineRule="exact"/>
        <w:rPr>
          <w:sz w:val="20"/>
          <w:szCs w:val="20"/>
          <w:color w:val="auto"/>
        </w:rPr>
      </w:pPr>
    </w:p>
    <w:p>
      <w:pPr>
        <w:ind w:left="1320" w:right="339" w:firstLine="346"/>
        <w:spacing w:after="0" w:line="261" w:lineRule="auto"/>
        <w:rPr>
          <w:sz w:val="20"/>
          <w:szCs w:val="20"/>
          <w:color w:val="auto"/>
        </w:rPr>
      </w:pPr>
      <w:r>
        <w:rPr>
          <w:rFonts w:ascii="Times New Roman" w:cs="Times New Roman" w:eastAsia="Times New Roman" w:hAnsi="Times New Roman"/>
          <w:sz w:val="14"/>
          <w:szCs w:val="14"/>
          <w:color w:val="auto"/>
        </w:rPr>
        <w:t>The following table sets forth, to our knowledge, information concerning the beneficial ownership of shares of our common stock by the selling stockholders as of June 1, 2026. Beneficial ownership is determined in accordance with the rules of the SEC, and includes voting or investment power with respect to our common stock. Except as indicated by the footnotes below, we believe, based on the information furnished to us, that each selling stockholder named in the table below has sole voting and investment power with respect to all shares of common stock that they beneficially own, subject to applicable community property laws.</w:t>
      </w:r>
    </w:p>
    <w:p>
      <w:pPr>
        <w:spacing w:after="0" w:line="142"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The number of shares of common stock that may be offered under this prospectus includes (i) all shares of our common stock underlying Pre-Funded Warrants purchased by such selling stockholder in the Private Placement and (ii) all shares of our common stock underlying Warrants purchased by such selling stockholder in the Private Placement, without giving effect to any beneficial ownership limitations in the Pre-Funded Warrants and Warrants. The number of shares of common stock beneficially owned by each selling stockholder following the offering assumes all of the Shares covered hereby are sold and such stockholder does not acquire beneficial ownership of any additional shares of common stock.</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The percentage of shares owned before and after the offering are based on 4,200,343 shares of our common stock outstanding as of June 1, 2026, which does not include any shares of common stock offered by this prospectus that are issuable pursuant to the Pre-Funded Warrants and the Warrants, and assumes the selling stockholders dispose of all of the Shares covered by this prospectus and do not acquire beneficial ownership of any additional shares of common stock. The registration of the Shares does not necessarily mean that the selling stockholders will sell all or any portion of the Shares covered by this prospectus.</w:t>
      </w:r>
    </w:p>
    <w:p>
      <w:pPr>
        <w:spacing w:after="0" w:line="142"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The selling stockholders may sell some, all or none of the Shares offered by this prospectus from time to time. We do not know how long the selling stockholders will hold the Shares covered hereby before selling them and we currently have no agreements, arrangements or understandings with the selling stockholders regarding the sale or other disposition of any Shares.</w:t>
      </w:r>
    </w:p>
    <w:p>
      <w:pPr>
        <w:spacing w:after="0" w:line="137"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Shares in any non-sale transfer after the date of this prospectus.</w:t>
      </w:r>
    </w:p>
    <w:p>
      <w:pPr>
        <w:spacing w:after="0" w:line="137" w:lineRule="exact"/>
        <w:rPr>
          <w:sz w:val="20"/>
          <w:szCs w:val="20"/>
          <w:color w:val="auto"/>
        </w:rPr>
      </w:pPr>
    </w:p>
    <w:p>
      <w:pPr>
        <w:ind w:left="1320" w:right="419" w:firstLine="346"/>
        <w:spacing w:after="0" w:line="286" w:lineRule="auto"/>
        <w:rPr>
          <w:sz w:val="20"/>
          <w:szCs w:val="20"/>
          <w:color w:val="auto"/>
        </w:rPr>
      </w:pPr>
      <w:r>
        <w:rPr>
          <w:rFonts w:ascii="Times New Roman" w:cs="Times New Roman" w:eastAsia="Times New Roman" w:hAnsi="Times New Roman"/>
          <w:sz w:val="14"/>
          <w:szCs w:val="14"/>
          <w:color w:val="auto"/>
        </w:rPr>
        <w:t>Except as otherwise noted below, the address for persons listed in the table is c/o Cue Biopharma, Inc., 40 Guest Street, Boston, Massachusetts 02135.</w:t>
      </w:r>
    </w:p>
    <w:p>
      <w:pPr>
        <w:spacing w:after="0" w:line="132"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30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Beneficial Ownership Prior to this</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Beneficial Ownership After this</w:t>
            </w: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center"/>
              <w:ind w:right="535"/>
              <w:spacing w:after="0"/>
              <w:rPr>
                <w:sz w:val="20"/>
                <w:szCs w:val="20"/>
                <w:color w:val="auto"/>
              </w:rPr>
            </w:pPr>
            <w:r>
              <w:rPr>
                <w:rFonts w:ascii="Times New Roman" w:cs="Times New Roman" w:eastAsia="Times New Roman" w:hAnsi="Times New Roman"/>
                <w:sz w:val="11"/>
                <w:szCs w:val="11"/>
                <w:b w:val="1"/>
                <w:bCs w:val="1"/>
                <w:color w:val="auto"/>
              </w:rPr>
              <w:t>Offering</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360" w:type="dxa"/>
            <w:vAlign w:val="bottom"/>
          </w:tcPr>
          <w:p>
            <w:pPr>
              <w:spacing w:after="0"/>
              <w:rPr>
                <w:sz w:val="7"/>
                <w:szCs w:val="7"/>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62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0" w:type="dxa"/>
            <w:vAlign w:val="bottom"/>
          </w:tcPr>
          <w:p>
            <w:pPr>
              <w:spacing w:after="0"/>
              <w:rPr>
                <w:sz w:val="1"/>
                <w:szCs w:val="1"/>
                <w:color w:val="auto"/>
              </w:rPr>
            </w:pPr>
          </w:p>
        </w:tc>
      </w:tr>
      <w:tr>
        <w:trPr>
          <w:trHeight w:val="117"/>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190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2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45"/>
        </w:trPr>
        <w:tc>
          <w:tcPr>
            <w:tcW w:w="1380" w:type="dxa"/>
            <w:vAlign w:val="bottom"/>
            <w:tcBorders>
              <w:bottom w:val="single" w:sz="8" w:color="auto"/>
            </w:tcBorders>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4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1"/>
                <w:szCs w:val="11"/>
                <w:b w:val="1"/>
                <w:bCs w:val="1"/>
                <w:color w:val="auto"/>
              </w:rPr>
              <w:t>Being Offered</w:t>
            </w:r>
            <w:r>
              <w:rPr>
                <w:rFonts w:ascii="Times New Roman" w:cs="Times New Roman" w:eastAsia="Times New Roman" w:hAnsi="Times New Roman"/>
                <w:sz w:val="8"/>
                <w:szCs w:val="8"/>
                <w:b w:val="1"/>
                <w:bCs w:val="1"/>
                <w:color w:val="auto"/>
              </w:rPr>
              <w:t>(2)</w:t>
            </w:r>
          </w:p>
        </w:tc>
        <w:tc>
          <w:tcPr>
            <w:tcW w:w="62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2"/>
                <w:szCs w:val="12"/>
                <w:color w:val="auto"/>
              </w:rPr>
            </w:pP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51"/>
        </w:trPr>
        <w:tc>
          <w:tcPr>
            <w:tcW w:w="3280" w:type="dxa"/>
            <w:vAlign w:val="bottom"/>
            <w:tcBorders>
              <w:top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Bleichroeder LP</w:t>
            </w:r>
            <w:r>
              <w:rPr>
                <w:rFonts w:ascii="Times New Roman" w:cs="Times New Roman" w:eastAsia="Times New Roman" w:hAnsi="Times New Roman"/>
                <w:sz w:val="17"/>
                <w:szCs w:val="17"/>
                <w:color w:val="auto"/>
                <w:vertAlign w:val="superscript"/>
              </w:rPr>
              <w:t>(3)</w:t>
            </w:r>
          </w:p>
        </w:tc>
        <w:tc>
          <w:tcPr>
            <w:tcW w:w="640" w:type="dxa"/>
            <w:vAlign w:val="bottom"/>
            <w:tcBorders>
              <w:top w:val="single" w:sz="8" w:color="CCEEFF"/>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440,976</w:t>
            </w:r>
          </w:p>
        </w:tc>
        <w:tc>
          <w:tcPr>
            <w:tcW w:w="3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9.99%</w:t>
            </w:r>
          </w:p>
        </w:tc>
        <w:tc>
          <w:tcPr>
            <w:tcW w:w="3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409,089</w:t>
            </w:r>
          </w:p>
        </w:tc>
        <w:tc>
          <w:tcPr>
            <w:tcW w:w="3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486,380</w:t>
            </w:r>
          </w:p>
        </w:tc>
        <w:tc>
          <w:tcPr>
            <w:tcW w:w="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Christopher Achar</w:t>
            </w:r>
            <w:r>
              <w:rPr>
                <w:rFonts w:ascii="Times New Roman" w:cs="Times New Roman" w:eastAsia="Times New Roman" w:hAnsi="Times New Roman"/>
                <w:sz w:val="19"/>
                <w:szCs w:val="19"/>
                <w:color w:val="auto"/>
                <w:vertAlign w:val="superscript"/>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34,086</w:t>
            </w:r>
          </w:p>
        </w:tc>
        <w:tc>
          <w:tcPr>
            <w:tcW w:w="13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1.00%</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34,086</w:t>
            </w:r>
          </w:p>
        </w:tc>
        <w:tc>
          <w:tcPr>
            <w:tcW w:w="3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Carlo Alberici</w:t>
            </w:r>
            <w:r>
              <w:rPr>
                <w:rFonts w:ascii="Times New Roman" w:cs="Times New Roman" w:eastAsia="Times New Roman" w:hAnsi="Times New Roman"/>
                <w:sz w:val="19"/>
                <w:szCs w:val="19"/>
                <w:color w:val="auto"/>
                <w:vertAlign w:val="superscript"/>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12,645</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8,556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James R. Aldridge</w:t>
            </w:r>
            <w:r>
              <w:rPr>
                <w:rFonts w:ascii="Times New Roman" w:cs="Times New Roman" w:eastAsia="Times New Roman" w:hAnsi="Times New Roman"/>
                <w:sz w:val="19"/>
                <w:szCs w:val="19"/>
                <w:color w:val="auto"/>
                <w:vertAlign w:val="superscript"/>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9,095</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5,687</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Howard Altshuler</w:t>
            </w:r>
            <w:r>
              <w:rPr>
                <w:rFonts w:ascii="Times New Roman" w:cs="Times New Roman" w:eastAsia="Times New Roman" w:hAnsi="Times New Roman"/>
                <w:sz w:val="19"/>
                <w:szCs w:val="19"/>
                <w:color w:val="auto"/>
                <w:vertAlign w:val="superscript"/>
              </w:rPr>
              <w:t>(7)</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Peter Appel</w:t>
            </w:r>
            <w:r>
              <w:rPr>
                <w:rFonts w:ascii="Times New Roman" w:cs="Times New Roman" w:eastAsia="Times New Roman" w:hAnsi="Times New Roman"/>
                <w:sz w:val="19"/>
                <w:szCs w:val="19"/>
                <w:color w:val="auto"/>
                <w:vertAlign w:val="superscript"/>
              </w:rPr>
              <w:t>(8)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213,445</w:t>
            </w:r>
          </w:p>
        </w:tc>
        <w:tc>
          <w:tcPr>
            <w:tcW w:w="13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4.99%</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409,089</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234,931</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Ballington Living Trust DTD 8-5-14</w:t>
            </w:r>
            <w:r>
              <w:rPr>
                <w:rFonts w:ascii="Times New Roman" w:cs="Times New Roman" w:eastAsia="Times New Roman" w:hAnsi="Times New Roman"/>
                <w:sz w:val="19"/>
                <w:szCs w:val="19"/>
                <w:color w:val="auto"/>
                <w:vertAlign w:val="superscript"/>
              </w:rPr>
              <w:t>(9)</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4,422</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333</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Steven Baum</w:t>
            </w:r>
            <w:r>
              <w:rPr>
                <w:rFonts w:ascii="Times New Roman" w:cs="Times New Roman" w:eastAsia="Times New Roman" w:hAnsi="Times New Roman"/>
                <w:sz w:val="19"/>
                <w:szCs w:val="19"/>
                <w:color w:val="auto"/>
                <w:vertAlign w:val="superscript"/>
              </w:rPr>
              <w:t>(10)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58,023</w:t>
            </w:r>
          </w:p>
        </w:tc>
        <w:tc>
          <w:tcPr>
            <w:tcW w:w="13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1.36%</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53,635</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4,388</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Mark J. Bigger</w:t>
            </w:r>
            <w:r>
              <w:rPr>
                <w:rFonts w:ascii="Times New Roman" w:cs="Times New Roman" w:eastAsia="Times New Roman" w:hAnsi="Times New Roman"/>
                <w:sz w:val="19"/>
                <w:szCs w:val="19"/>
                <w:color w:val="auto"/>
                <w:vertAlign w:val="superscript"/>
              </w:rPr>
              <w:t>(11)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5,577</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1,488</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Blue Earth Fund Limited Partnership</w:t>
            </w:r>
            <w:r>
              <w:rPr>
                <w:rFonts w:ascii="Times New Roman" w:cs="Times New Roman" w:eastAsia="Times New Roman" w:hAnsi="Times New Roman"/>
                <w:sz w:val="19"/>
                <w:szCs w:val="19"/>
                <w:color w:val="auto"/>
                <w:vertAlign w:val="superscript"/>
              </w:rPr>
              <w:t>(12)</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13,635</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13,635</w:t>
            </w:r>
          </w:p>
        </w:tc>
        <w:tc>
          <w:tcPr>
            <w:tcW w:w="3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Boardwalk Properties LLC</w:t>
            </w:r>
            <w:r>
              <w:rPr>
                <w:rFonts w:ascii="Times New Roman" w:cs="Times New Roman" w:eastAsia="Times New Roman" w:hAnsi="Times New Roman"/>
                <w:sz w:val="19"/>
                <w:szCs w:val="19"/>
                <w:color w:val="auto"/>
                <w:vertAlign w:val="superscript"/>
              </w:rPr>
              <w:t>(13)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Kevin M. Borkowski</w:t>
            </w:r>
            <w:r>
              <w:rPr>
                <w:rFonts w:ascii="Times New Roman" w:cs="Times New Roman" w:eastAsia="Times New Roman" w:hAnsi="Times New Roman"/>
                <w:sz w:val="19"/>
                <w:szCs w:val="19"/>
                <w:color w:val="auto"/>
                <w:vertAlign w:val="superscript"/>
              </w:rPr>
              <w:t>(14)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1,362</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1,362</w:t>
            </w:r>
          </w:p>
        </w:tc>
        <w:tc>
          <w:tcPr>
            <w:tcW w:w="3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Mark W. Boyer</w:t>
            </w:r>
            <w:r>
              <w:rPr>
                <w:rFonts w:ascii="Times New Roman" w:cs="Times New Roman" w:eastAsia="Times New Roman" w:hAnsi="Times New Roman"/>
                <w:sz w:val="19"/>
                <w:szCs w:val="19"/>
                <w:color w:val="auto"/>
                <w:vertAlign w:val="superscript"/>
              </w:rPr>
              <w:t>(15)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16,410</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9,594</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Rocco Brescia</w:t>
            </w:r>
            <w:r>
              <w:rPr>
                <w:rFonts w:ascii="Times New Roman" w:cs="Times New Roman" w:eastAsia="Times New Roman" w:hAnsi="Times New Roman"/>
                <w:sz w:val="19"/>
                <w:szCs w:val="19"/>
                <w:color w:val="auto"/>
                <w:vertAlign w:val="superscript"/>
              </w:rPr>
              <w:t>(16)</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5,111</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1,703</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Joseph Michael Buonaiuto</w:t>
            </w:r>
            <w:r>
              <w:rPr>
                <w:rFonts w:ascii="Times New Roman" w:cs="Times New Roman" w:eastAsia="Times New Roman" w:hAnsi="Times New Roman"/>
                <w:sz w:val="19"/>
                <w:szCs w:val="19"/>
                <w:color w:val="auto"/>
                <w:vertAlign w:val="superscript"/>
              </w:rPr>
              <w:t>(17)</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3,143</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1,100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Candlestick Lane Investments LP</w:t>
            </w:r>
            <w:r>
              <w:rPr>
                <w:rFonts w:ascii="Times New Roman" w:cs="Times New Roman" w:eastAsia="Times New Roman" w:hAnsi="Times New Roman"/>
                <w:sz w:val="19"/>
                <w:szCs w:val="19"/>
                <w:color w:val="auto"/>
                <w:vertAlign w:val="superscript"/>
              </w:rPr>
              <w:t>(18)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16,211</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8,181</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8,030</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2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Timothy L. Carpenter &amp; Julie L. Carpenter</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JTWROS</w:t>
            </w:r>
            <w:r>
              <w:rPr>
                <w:rFonts w:ascii="Times New Roman" w:cs="Times New Roman" w:eastAsia="Times New Roman" w:hAnsi="Times New Roman"/>
                <w:sz w:val="21"/>
                <w:szCs w:val="21"/>
                <w:color w:val="auto"/>
                <w:vertAlign w:val="superscript"/>
              </w:rPr>
              <w:t>(19)</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10,046</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6,638</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Dennis L. Chesley</w:t>
            </w:r>
            <w:r>
              <w:rPr>
                <w:rFonts w:ascii="Times New Roman" w:cs="Times New Roman" w:eastAsia="Times New Roman" w:hAnsi="Times New Roman"/>
                <w:sz w:val="19"/>
                <w:szCs w:val="19"/>
                <w:color w:val="auto"/>
                <w:vertAlign w:val="superscript"/>
              </w:rPr>
              <w:t>(20)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18,347</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13,635</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4,712</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Charles Christensen</w:t>
            </w:r>
            <w:r>
              <w:rPr>
                <w:rFonts w:ascii="Times New Roman" w:cs="Times New Roman" w:eastAsia="Times New Roman" w:hAnsi="Times New Roman"/>
                <w:sz w:val="19"/>
                <w:szCs w:val="19"/>
                <w:color w:val="auto"/>
                <w:vertAlign w:val="superscript"/>
              </w:rPr>
              <w:t>(21)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10,647</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10,227</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Ronald J. Ciasulli</w:t>
            </w:r>
            <w:r>
              <w:rPr>
                <w:rFonts w:ascii="Times New Roman" w:cs="Times New Roman" w:eastAsia="Times New Roman" w:hAnsi="Times New Roman"/>
                <w:sz w:val="19"/>
                <w:szCs w:val="19"/>
                <w:color w:val="auto"/>
                <w:vertAlign w:val="superscript"/>
              </w:rPr>
              <w:t>(22)</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20,420</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13,635</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6,785</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2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Karen Bedrosian Separate Property Trust DTD</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8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10-5-2001</w:t>
            </w:r>
            <w:r>
              <w:rPr>
                <w:rFonts w:ascii="Times New Roman" w:cs="Times New Roman" w:eastAsia="Times New Roman" w:hAnsi="Times New Roman"/>
                <w:sz w:val="21"/>
                <w:szCs w:val="21"/>
                <w:color w:val="auto"/>
                <w:vertAlign w:val="superscript"/>
              </w:rPr>
              <w:t>(23)</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18,611</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13,635</w:t>
            </w: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4,976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Peter Davidson</w:t>
            </w:r>
            <w:r>
              <w:rPr>
                <w:rFonts w:ascii="Times New Roman" w:cs="Times New Roman" w:eastAsia="Times New Roman" w:hAnsi="Times New Roman"/>
                <w:sz w:val="19"/>
                <w:szCs w:val="19"/>
                <w:color w:val="auto"/>
                <w:vertAlign w:val="superscript"/>
              </w:rPr>
              <w:t>(24)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13,632</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13,632</w:t>
            </w:r>
          </w:p>
        </w:tc>
        <w:tc>
          <w:tcPr>
            <w:tcW w:w="3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Mario Dellaera</w:t>
            </w:r>
            <w:r>
              <w:rPr>
                <w:rFonts w:ascii="Times New Roman" w:cs="Times New Roman" w:eastAsia="Times New Roman" w:hAnsi="Times New Roman"/>
                <w:sz w:val="19"/>
                <w:szCs w:val="19"/>
                <w:color w:val="auto"/>
                <w:vertAlign w:val="superscript"/>
              </w:rPr>
              <w:t>(25)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14,112</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10,023</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2"/>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 R. Demich</w:t>
            </w:r>
            <w:r>
              <w:rPr>
                <w:rFonts w:ascii="Times New Roman" w:cs="Times New Roman" w:eastAsia="Times New Roman" w:hAnsi="Times New Roman"/>
                <w:sz w:val="21"/>
                <w:szCs w:val="21"/>
                <w:color w:val="auto"/>
                <w:vertAlign w:val="superscript"/>
              </w:rPr>
              <w:t>(26)</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6,443</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3,035</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gridSpan w:val="2"/>
          </w:tcPr>
          <w:p>
            <w:pPr>
              <w:jc w:val="right"/>
              <w:ind w:right="761"/>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30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Beneficial Ownership Prior to this</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Beneficial Ownership After this</w:t>
            </w: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center"/>
              <w:ind w:right="534"/>
              <w:spacing w:after="0"/>
              <w:rPr>
                <w:sz w:val="20"/>
                <w:szCs w:val="20"/>
                <w:color w:val="auto"/>
              </w:rPr>
            </w:pPr>
            <w:r>
              <w:rPr>
                <w:rFonts w:ascii="Times New Roman" w:cs="Times New Roman" w:eastAsia="Times New Roman" w:hAnsi="Times New Roman"/>
                <w:sz w:val="11"/>
                <w:szCs w:val="11"/>
                <w:b w:val="1"/>
                <w:bCs w:val="1"/>
                <w:color w:val="auto"/>
              </w:rPr>
              <w:t>Offering</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360" w:type="dxa"/>
            <w:vAlign w:val="bottom"/>
          </w:tcPr>
          <w:p>
            <w:pPr>
              <w:spacing w:after="0"/>
              <w:rPr>
                <w:sz w:val="7"/>
                <w:szCs w:val="7"/>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62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0" w:type="dxa"/>
            <w:vAlign w:val="bottom"/>
          </w:tcPr>
          <w:p>
            <w:pPr>
              <w:spacing w:after="0"/>
              <w:rPr>
                <w:sz w:val="1"/>
                <w:szCs w:val="1"/>
                <w:color w:val="auto"/>
              </w:rPr>
            </w:pPr>
          </w:p>
        </w:tc>
      </w:tr>
      <w:tr>
        <w:trPr>
          <w:trHeight w:val="117"/>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190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2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45"/>
        </w:trPr>
        <w:tc>
          <w:tcPr>
            <w:tcW w:w="1380" w:type="dxa"/>
            <w:vAlign w:val="bottom"/>
            <w:tcBorders>
              <w:bottom w:val="single" w:sz="8" w:color="auto"/>
            </w:tcBorders>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4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1"/>
                <w:szCs w:val="11"/>
                <w:b w:val="1"/>
                <w:bCs w:val="1"/>
                <w:color w:val="auto"/>
              </w:rPr>
              <w:t>Being Offered</w:t>
            </w:r>
            <w:r>
              <w:rPr>
                <w:rFonts w:ascii="Times New Roman" w:cs="Times New Roman" w:eastAsia="Times New Roman" w:hAnsi="Times New Roman"/>
                <w:sz w:val="8"/>
                <w:szCs w:val="8"/>
                <w:b w:val="1"/>
                <w:bCs w:val="1"/>
                <w:color w:val="auto"/>
              </w:rPr>
              <w:t>(2)</w:t>
            </w:r>
          </w:p>
        </w:tc>
        <w:tc>
          <w:tcPr>
            <w:tcW w:w="62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2"/>
                <w:szCs w:val="12"/>
                <w:color w:val="auto"/>
              </w:rPr>
            </w:pP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51"/>
        </w:trPr>
        <w:tc>
          <w:tcPr>
            <w:tcW w:w="3280" w:type="dxa"/>
            <w:vAlign w:val="bottom"/>
            <w:tcBorders>
              <w:top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The DeSouza Family Trust DTD 5-24-2011</w:t>
            </w:r>
            <w:r>
              <w:rPr>
                <w:rFonts w:ascii="Times New Roman" w:cs="Times New Roman" w:eastAsia="Times New Roman" w:hAnsi="Times New Roman"/>
                <w:sz w:val="17"/>
                <w:szCs w:val="17"/>
                <w:color w:val="auto"/>
                <w:vertAlign w:val="superscript"/>
              </w:rPr>
              <w:t>(27)</w:t>
            </w:r>
          </w:p>
        </w:tc>
        <w:tc>
          <w:tcPr>
            <w:tcW w:w="640" w:type="dxa"/>
            <w:vAlign w:val="bottom"/>
            <w:tcBorders>
              <w:top w:val="single" w:sz="8" w:color="CCEEFF"/>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2,721</w:t>
            </w:r>
          </w:p>
        </w:tc>
        <w:tc>
          <w:tcPr>
            <w:tcW w:w="3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2,721</w:t>
            </w:r>
          </w:p>
        </w:tc>
        <w:tc>
          <w:tcPr>
            <w:tcW w:w="3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Joseph M. DiAngelo</w:t>
            </w:r>
            <w:r>
              <w:rPr>
                <w:rFonts w:ascii="Times New Roman" w:cs="Times New Roman" w:eastAsia="Times New Roman" w:hAnsi="Times New Roman"/>
                <w:sz w:val="19"/>
                <w:szCs w:val="19"/>
                <w:color w:val="auto"/>
                <w:vertAlign w:val="superscript"/>
              </w:rPr>
              <w:t>(28)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2,543</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Daniel DiFilippo</w:t>
            </w:r>
            <w:r>
              <w:rPr>
                <w:rFonts w:ascii="Times New Roman" w:cs="Times New Roman" w:eastAsia="Times New Roman" w:hAnsi="Times New Roman"/>
                <w:sz w:val="19"/>
                <w:szCs w:val="19"/>
                <w:color w:val="auto"/>
                <w:vertAlign w:val="superscript"/>
              </w:rPr>
              <w:t>(29)</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6,686</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3,278</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Christopher E. DiPetrillo</w:t>
            </w:r>
            <w:r>
              <w:rPr>
                <w:rFonts w:ascii="Times New Roman" w:cs="Times New Roman" w:eastAsia="Times New Roman" w:hAnsi="Times New Roman"/>
                <w:sz w:val="19"/>
                <w:szCs w:val="19"/>
                <w:color w:val="auto"/>
                <w:vertAlign w:val="superscript"/>
              </w:rPr>
              <w:t>(30)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3,325</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1,282</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2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Francis Dominique &amp; Majella Dominique</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JTWROS</w:t>
            </w:r>
            <w:r>
              <w:rPr>
                <w:rFonts w:ascii="Times New Roman" w:cs="Times New Roman" w:eastAsia="Times New Roman" w:hAnsi="Times New Roman"/>
                <w:sz w:val="21"/>
                <w:szCs w:val="21"/>
                <w:color w:val="auto"/>
                <w:vertAlign w:val="superscript"/>
              </w:rPr>
              <w:t>(31)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3,957</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2,727</w:t>
            </w: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1,230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Paul G. Elie</w:t>
            </w:r>
            <w:r>
              <w:rPr>
                <w:rFonts w:ascii="Times New Roman" w:cs="Times New Roman" w:eastAsia="Times New Roman" w:hAnsi="Times New Roman"/>
                <w:sz w:val="19"/>
                <w:szCs w:val="19"/>
                <w:color w:val="auto"/>
                <w:vertAlign w:val="superscript"/>
              </w:rPr>
              <w:t>(32)</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12,801</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4,770</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8,031</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Salvatore Esposito</w:t>
            </w:r>
            <w:r>
              <w:rPr>
                <w:rFonts w:ascii="Times New Roman" w:cs="Times New Roman" w:eastAsia="Times New Roman" w:hAnsi="Times New Roman"/>
                <w:sz w:val="19"/>
                <w:szCs w:val="19"/>
                <w:color w:val="auto"/>
                <w:vertAlign w:val="superscript"/>
              </w:rPr>
              <w:t>(33)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8,089</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4,000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Ali Farahpour</w:t>
            </w:r>
            <w:r>
              <w:rPr>
                <w:rFonts w:ascii="Times New Roman" w:cs="Times New Roman" w:eastAsia="Times New Roman" w:hAnsi="Times New Roman"/>
                <w:sz w:val="19"/>
                <w:szCs w:val="19"/>
                <w:color w:val="auto"/>
                <w:vertAlign w:val="superscript"/>
              </w:rPr>
              <w:t>(34)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212,727</w:t>
            </w:r>
          </w:p>
        </w:tc>
        <w:tc>
          <w:tcPr>
            <w:tcW w:w="13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4.99%</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136,359</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179,430</w:t>
            </w:r>
          </w:p>
        </w:tc>
        <w:tc>
          <w:tcPr>
            <w:tcW w:w="1200" w:type="dxa"/>
            <w:vAlign w:val="bottom"/>
            <w:gridSpan w:val="2"/>
          </w:tcPr>
          <w:p>
            <w:pPr>
              <w:jc w:val="center"/>
              <w:ind w:left="330"/>
              <w:spacing w:after="0"/>
              <w:rPr>
                <w:sz w:val="20"/>
                <w:szCs w:val="20"/>
                <w:color w:val="auto"/>
              </w:rPr>
            </w:pPr>
            <w:r>
              <w:rPr>
                <w:rFonts w:ascii="Times New Roman" w:cs="Times New Roman" w:eastAsia="Times New Roman" w:hAnsi="Times New Roman"/>
                <w:sz w:val="14"/>
                <w:szCs w:val="14"/>
                <w:color w:val="auto"/>
                <w:w w:val="99"/>
              </w:rPr>
              <w:t>4.11%</w:t>
            </w:r>
          </w:p>
        </w:tc>
        <w:tc>
          <w:tcPr>
            <w:tcW w:w="0" w:type="dxa"/>
            <w:vAlign w:val="bottom"/>
          </w:tcPr>
          <w:p>
            <w:pPr>
              <w:spacing w:after="0"/>
              <w:rPr>
                <w:sz w:val="1"/>
                <w:szCs w:val="1"/>
                <w:color w:val="auto"/>
              </w:rPr>
            </w:pPr>
          </w:p>
        </w:tc>
      </w:tr>
      <w:tr>
        <w:trPr>
          <w:trHeight w:val="155"/>
        </w:trPr>
        <w:tc>
          <w:tcPr>
            <w:tcW w:w="32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Kristin Leigh Smallwood &amp; Timothy Robert Fisk</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JTWROS</w:t>
            </w:r>
            <w:r>
              <w:rPr>
                <w:rFonts w:ascii="Times New Roman" w:cs="Times New Roman" w:eastAsia="Times New Roman" w:hAnsi="Times New Roman"/>
                <w:sz w:val="21"/>
                <w:szCs w:val="21"/>
                <w:color w:val="auto"/>
                <w:vertAlign w:val="superscript"/>
              </w:rPr>
              <w:t>(35)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5,289</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Keith Fleischmann</w:t>
            </w:r>
            <w:r>
              <w:rPr>
                <w:rFonts w:ascii="Times New Roman" w:cs="Times New Roman" w:eastAsia="Times New Roman" w:hAnsi="Times New Roman"/>
                <w:sz w:val="19"/>
                <w:szCs w:val="19"/>
                <w:color w:val="auto"/>
                <w:vertAlign w:val="superscript"/>
              </w:rPr>
              <w:t>(36)</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5,104</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1,696</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Scott Guasta</w:t>
            </w:r>
            <w:r>
              <w:rPr>
                <w:rFonts w:ascii="Times New Roman" w:cs="Times New Roman" w:eastAsia="Times New Roman" w:hAnsi="Times New Roman"/>
                <w:sz w:val="19"/>
                <w:szCs w:val="19"/>
                <w:color w:val="auto"/>
                <w:vertAlign w:val="superscript"/>
              </w:rPr>
              <w:t>(37)</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7,270</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2,727</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4,543</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Joseph S. Glodek</w:t>
            </w:r>
            <w:r>
              <w:rPr>
                <w:rFonts w:ascii="Times New Roman" w:cs="Times New Roman" w:eastAsia="Times New Roman" w:hAnsi="Times New Roman"/>
                <w:sz w:val="19"/>
                <w:szCs w:val="19"/>
                <w:color w:val="auto"/>
                <w:vertAlign w:val="superscript"/>
              </w:rPr>
              <w:t>(38)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5,454</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5,454</w:t>
            </w:r>
          </w:p>
        </w:tc>
        <w:tc>
          <w:tcPr>
            <w:tcW w:w="3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Joseph William Glodek</w:t>
            </w:r>
            <w:r>
              <w:rPr>
                <w:rFonts w:ascii="Times New Roman" w:cs="Times New Roman" w:eastAsia="Times New Roman" w:hAnsi="Times New Roman"/>
                <w:sz w:val="19"/>
                <w:szCs w:val="19"/>
                <w:color w:val="auto"/>
                <w:vertAlign w:val="superscript"/>
              </w:rPr>
              <w:t>(39)</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Keith Guenther</w:t>
            </w:r>
            <w:r>
              <w:rPr>
                <w:rFonts w:ascii="Times New Roman" w:cs="Times New Roman" w:eastAsia="Times New Roman" w:hAnsi="Times New Roman"/>
                <w:sz w:val="19"/>
                <w:szCs w:val="19"/>
                <w:color w:val="auto"/>
                <w:vertAlign w:val="superscript"/>
              </w:rPr>
              <w:t>(40)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8,554</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7,500</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1,054</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Paul Harman</w:t>
            </w:r>
            <w:r>
              <w:rPr>
                <w:rFonts w:ascii="Times New Roman" w:cs="Times New Roman" w:eastAsia="Times New Roman" w:hAnsi="Times New Roman"/>
                <w:sz w:val="19"/>
                <w:szCs w:val="19"/>
                <w:color w:val="auto"/>
                <w:vertAlign w:val="superscript"/>
              </w:rPr>
              <w:t>(41)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6,827</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5,181</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1,646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Brian L. Heckler Revocable Trust DTD</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140"/>
              <w:spacing w:after="0" w:line="185" w:lineRule="exact"/>
              <w:rPr>
                <w:sz w:val="20"/>
                <w:szCs w:val="20"/>
                <w:color w:val="auto"/>
              </w:rPr>
            </w:pPr>
            <w:r>
              <w:rPr>
                <w:rFonts w:ascii="Times New Roman" w:cs="Times New Roman" w:eastAsia="Times New Roman" w:hAnsi="Times New Roman"/>
                <w:sz w:val="14"/>
                <w:szCs w:val="14"/>
                <w:color w:val="auto"/>
              </w:rPr>
              <w:t>3-4-2005</w:t>
            </w:r>
            <w:r>
              <w:rPr>
                <w:rFonts w:ascii="Times New Roman" w:cs="Times New Roman" w:eastAsia="Times New Roman" w:hAnsi="Times New Roman"/>
                <w:sz w:val="21"/>
                <w:szCs w:val="21"/>
                <w:color w:val="auto"/>
                <w:vertAlign w:val="superscript"/>
              </w:rPr>
              <w:t>(42)</w:t>
            </w:r>
          </w:p>
        </w:tc>
        <w:tc>
          <w:tcPr>
            <w:tcW w:w="19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4,458</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1,050</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2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Scott Frederic Hesse &amp; Patricia Lynn Hesse</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JTWROS</w:t>
            </w:r>
            <w:r>
              <w:rPr>
                <w:rFonts w:ascii="Times New Roman" w:cs="Times New Roman" w:eastAsia="Times New Roman" w:hAnsi="Times New Roman"/>
                <w:sz w:val="21"/>
                <w:szCs w:val="21"/>
                <w:color w:val="auto"/>
                <w:vertAlign w:val="superscript"/>
              </w:rPr>
              <w:t>(43)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7,214</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2,727</w:t>
            </w: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4,487</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Dennis D. Howarter &amp; Pamela J. Howarter</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tcPr>
          <w:p>
            <w:pPr>
              <w:ind w:left="140"/>
              <w:spacing w:after="0" w:line="185" w:lineRule="exact"/>
              <w:rPr>
                <w:sz w:val="20"/>
                <w:szCs w:val="20"/>
                <w:color w:val="auto"/>
              </w:rPr>
            </w:pPr>
            <w:r>
              <w:rPr>
                <w:rFonts w:ascii="Times New Roman" w:cs="Times New Roman" w:eastAsia="Times New Roman" w:hAnsi="Times New Roman"/>
                <w:sz w:val="14"/>
                <w:szCs w:val="14"/>
                <w:color w:val="auto"/>
              </w:rPr>
              <w:t>JTWROS</w:t>
            </w:r>
            <w:r>
              <w:rPr>
                <w:rFonts w:ascii="Times New Roman" w:cs="Times New Roman" w:eastAsia="Times New Roman" w:hAnsi="Times New Roman"/>
                <w:sz w:val="21"/>
                <w:szCs w:val="21"/>
                <w:color w:val="auto"/>
                <w:vertAlign w:val="superscript"/>
              </w:rPr>
              <w:t>(44)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8,982</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2,166</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James M. Huber Trust DTD 1-28-2020</w:t>
            </w:r>
            <w:r>
              <w:rPr>
                <w:rFonts w:ascii="Times New Roman" w:cs="Times New Roman" w:eastAsia="Times New Roman" w:hAnsi="Times New Roman"/>
                <w:sz w:val="19"/>
                <w:szCs w:val="19"/>
                <w:color w:val="auto"/>
                <w:vertAlign w:val="superscript"/>
              </w:rPr>
              <w:t>(45)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5,124</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1,716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Donald L. Hulet</w:t>
            </w:r>
            <w:r>
              <w:rPr>
                <w:rFonts w:ascii="Times New Roman" w:cs="Times New Roman" w:eastAsia="Times New Roman" w:hAnsi="Times New Roman"/>
                <w:sz w:val="19"/>
                <w:szCs w:val="19"/>
                <w:color w:val="auto"/>
                <w:vertAlign w:val="superscript"/>
              </w:rPr>
              <w:t>(46)</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2,148</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Ironwood Assets LLC</w:t>
            </w:r>
            <w:r>
              <w:rPr>
                <w:rFonts w:ascii="Times New Roman" w:cs="Times New Roman" w:eastAsia="Times New Roman" w:hAnsi="Times New Roman"/>
                <w:sz w:val="19"/>
                <w:szCs w:val="19"/>
                <w:color w:val="auto"/>
                <w:vertAlign w:val="superscript"/>
              </w:rPr>
              <w:t>(47)</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5,778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4,362</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Keith Jackson</w:t>
            </w:r>
            <w:r>
              <w:rPr>
                <w:rFonts w:ascii="Times New Roman" w:cs="Times New Roman" w:eastAsia="Times New Roman" w:hAnsi="Times New Roman"/>
                <w:sz w:val="19"/>
                <w:szCs w:val="19"/>
                <w:color w:val="auto"/>
                <w:vertAlign w:val="superscript"/>
              </w:rPr>
              <w:t>(48)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6,936</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4,770</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2,166</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Daniel Jassy</w:t>
            </w:r>
            <w:r>
              <w:rPr>
                <w:rFonts w:ascii="Times New Roman" w:cs="Times New Roman" w:eastAsia="Times New Roman" w:hAnsi="Times New Roman"/>
                <w:sz w:val="19"/>
                <w:szCs w:val="19"/>
                <w:color w:val="auto"/>
                <w:vertAlign w:val="superscript"/>
              </w:rPr>
              <w:t>(49)</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6,813</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6,813</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Matthew Jones</w:t>
            </w:r>
            <w:r>
              <w:rPr>
                <w:rFonts w:ascii="Times New Roman" w:cs="Times New Roman" w:eastAsia="Times New Roman" w:hAnsi="Times New Roman"/>
                <w:sz w:val="19"/>
                <w:szCs w:val="19"/>
                <w:color w:val="auto"/>
                <w:vertAlign w:val="superscript"/>
              </w:rPr>
              <w:t>(50)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5,752</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4,086</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1,666</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Robert Kastenschmidt</w:t>
            </w:r>
            <w:r>
              <w:rPr>
                <w:rFonts w:ascii="Times New Roman" w:cs="Times New Roman" w:eastAsia="Times New Roman" w:hAnsi="Times New Roman"/>
                <w:sz w:val="19"/>
                <w:szCs w:val="19"/>
                <w:color w:val="auto"/>
                <w:vertAlign w:val="superscript"/>
              </w:rPr>
              <w:t>(51)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4,189</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David A. Katz</w:t>
            </w:r>
            <w:r>
              <w:rPr>
                <w:rFonts w:ascii="Times New Roman" w:cs="Times New Roman" w:eastAsia="Times New Roman" w:hAnsi="Times New Roman"/>
                <w:sz w:val="19"/>
                <w:szCs w:val="19"/>
                <w:color w:val="auto"/>
                <w:vertAlign w:val="superscript"/>
              </w:rPr>
              <w:t>(52)</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29,242</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13,635</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15,607</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Robert Richard Keehan</w:t>
            </w:r>
            <w:r>
              <w:rPr>
                <w:rFonts w:ascii="Times New Roman" w:cs="Times New Roman" w:eastAsia="Times New Roman" w:hAnsi="Times New Roman"/>
                <w:sz w:val="19"/>
                <w:szCs w:val="19"/>
                <w:color w:val="auto"/>
                <w:vertAlign w:val="superscript"/>
              </w:rPr>
              <w:t>(53)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9,546</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2,730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David A. Killam</w:t>
            </w:r>
            <w:r>
              <w:rPr>
                <w:rFonts w:ascii="Times New Roman" w:cs="Times New Roman" w:eastAsia="Times New Roman" w:hAnsi="Times New Roman"/>
                <w:sz w:val="19"/>
                <w:szCs w:val="19"/>
                <w:color w:val="auto"/>
                <w:vertAlign w:val="superscript"/>
              </w:rPr>
              <w:t>(54)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4,770</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4,770</w:t>
            </w:r>
          </w:p>
        </w:tc>
        <w:tc>
          <w:tcPr>
            <w:tcW w:w="3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James M. Koch</w:t>
            </w:r>
            <w:r>
              <w:rPr>
                <w:rFonts w:ascii="Times New Roman" w:cs="Times New Roman" w:eastAsia="Times New Roman" w:hAnsi="Times New Roman"/>
                <w:sz w:val="19"/>
                <w:szCs w:val="19"/>
                <w:color w:val="auto"/>
                <w:vertAlign w:val="superscript"/>
              </w:rPr>
              <w:t>(55)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11,543</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4,727</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James P. Kolar</w:t>
            </w:r>
            <w:r>
              <w:rPr>
                <w:rFonts w:ascii="Times New Roman" w:cs="Times New Roman" w:eastAsia="Times New Roman" w:hAnsi="Times New Roman"/>
                <w:sz w:val="19"/>
                <w:szCs w:val="19"/>
                <w:color w:val="auto"/>
                <w:vertAlign w:val="superscript"/>
              </w:rPr>
              <w:t>(56)</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17,769</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10,908</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6,861</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Investment Mgt Holdings LLC</w:t>
            </w:r>
            <w:r>
              <w:rPr>
                <w:rFonts w:ascii="Times New Roman" w:cs="Times New Roman" w:eastAsia="Times New Roman" w:hAnsi="Times New Roman"/>
                <w:sz w:val="19"/>
                <w:szCs w:val="19"/>
                <w:color w:val="auto"/>
                <w:vertAlign w:val="superscript"/>
              </w:rPr>
              <w:t>(57)</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34,086</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34,086</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Kurtis Krentz</w:t>
            </w:r>
            <w:r>
              <w:rPr>
                <w:rFonts w:ascii="Times New Roman" w:cs="Times New Roman" w:eastAsia="Times New Roman" w:hAnsi="Times New Roman"/>
                <w:sz w:val="19"/>
                <w:szCs w:val="19"/>
                <w:color w:val="auto"/>
                <w:vertAlign w:val="superscript"/>
              </w:rPr>
              <w:t>(58)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17,789</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10,227</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7,562</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Richard Kunihira</w:t>
            </w:r>
            <w:r>
              <w:rPr>
                <w:rFonts w:ascii="Times New Roman" w:cs="Times New Roman" w:eastAsia="Times New Roman" w:hAnsi="Times New Roman"/>
                <w:sz w:val="19"/>
                <w:szCs w:val="19"/>
                <w:color w:val="auto"/>
                <w:vertAlign w:val="superscript"/>
              </w:rPr>
              <w:t>(59)</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Kirkland Edward Larson</w:t>
            </w:r>
            <w:r>
              <w:rPr>
                <w:rFonts w:ascii="Times New Roman" w:cs="Times New Roman" w:eastAsia="Times New Roman" w:hAnsi="Times New Roman"/>
                <w:sz w:val="19"/>
                <w:szCs w:val="19"/>
                <w:color w:val="auto"/>
                <w:vertAlign w:val="superscript"/>
              </w:rPr>
              <w:t>(60)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20,306</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13,490</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James C. Leslie</w:t>
            </w:r>
            <w:r>
              <w:rPr>
                <w:rFonts w:ascii="Times New Roman" w:cs="Times New Roman" w:eastAsia="Times New Roman" w:hAnsi="Times New Roman"/>
                <w:sz w:val="19"/>
                <w:szCs w:val="19"/>
                <w:color w:val="auto"/>
                <w:vertAlign w:val="superscript"/>
              </w:rPr>
              <w:t>(61)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7,712</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4,304</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Richard Libretti</w:t>
            </w:r>
            <w:r>
              <w:rPr>
                <w:rFonts w:ascii="Times New Roman" w:cs="Times New Roman" w:eastAsia="Times New Roman" w:hAnsi="Times New Roman"/>
                <w:sz w:val="19"/>
                <w:szCs w:val="19"/>
                <w:color w:val="auto"/>
                <w:vertAlign w:val="superscript"/>
              </w:rPr>
              <w:t>(62)</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12,954</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12,954</w:t>
            </w:r>
          </w:p>
        </w:tc>
        <w:tc>
          <w:tcPr>
            <w:tcW w:w="3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Richard P. Libretti &amp; Lois Libretti JTWROS</w:t>
            </w:r>
            <w:r>
              <w:rPr>
                <w:rFonts w:ascii="Times New Roman" w:cs="Times New Roman" w:eastAsia="Times New Roman" w:hAnsi="Times New Roman"/>
                <w:sz w:val="19"/>
                <w:szCs w:val="19"/>
                <w:color w:val="auto"/>
                <w:vertAlign w:val="superscript"/>
              </w:rPr>
              <w:t>(63)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10,387</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3,571</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Shao-lee Lin Trust DTD 3-13-2023</w:t>
            </w:r>
            <w:r>
              <w:rPr>
                <w:rFonts w:ascii="Times New Roman" w:cs="Times New Roman" w:eastAsia="Times New Roman" w:hAnsi="Times New Roman"/>
                <w:sz w:val="19"/>
                <w:szCs w:val="19"/>
                <w:color w:val="auto"/>
                <w:vertAlign w:val="superscript"/>
              </w:rPr>
              <w:t>(64)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136,359</w:t>
            </w:r>
          </w:p>
        </w:tc>
        <w:tc>
          <w:tcPr>
            <w:tcW w:w="13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3.14%</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136,359</w:t>
            </w:r>
          </w:p>
        </w:tc>
        <w:tc>
          <w:tcPr>
            <w:tcW w:w="3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Paul E Linthorst</w:t>
            </w:r>
            <w:r>
              <w:rPr>
                <w:rFonts w:ascii="Times New Roman" w:cs="Times New Roman" w:eastAsia="Times New Roman" w:hAnsi="Times New Roman"/>
                <w:sz w:val="19"/>
                <w:szCs w:val="19"/>
                <w:color w:val="auto"/>
                <w:vertAlign w:val="superscript"/>
              </w:rPr>
              <w:t>(65)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2,782</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739</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gridSpan w:val="2"/>
          </w:tcPr>
          <w:p>
            <w:pPr>
              <w:jc w:val="right"/>
              <w:ind w:right="761"/>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30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Beneficial Ownership Prior to this</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Beneficial Ownership After this</w:t>
            </w: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center"/>
              <w:ind w:right="533"/>
              <w:spacing w:after="0"/>
              <w:rPr>
                <w:sz w:val="20"/>
                <w:szCs w:val="20"/>
                <w:color w:val="auto"/>
              </w:rPr>
            </w:pPr>
            <w:r>
              <w:rPr>
                <w:rFonts w:ascii="Times New Roman" w:cs="Times New Roman" w:eastAsia="Times New Roman" w:hAnsi="Times New Roman"/>
                <w:sz w:val="11"/>
                <w:szCs w:val="11"/>
                <w:b w:val="1"/>
                <w:bCs w:val="1"/>
                <w:color w:val="auto"/>
              </w:rPr>
              <w:t>Offering</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360" w:type="dxa"/>
            <w:vAlign w:val="bottom"/>
          </w:tcPr>
          <w:p>
            <w:pPr>
              <w:spacing w:after="0"/>
              <w:rPr>
                <w:sz w:val="7"/>
                <w:szCs w:val="7"/>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6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0" w:type="dxa"/>
            <w:vAlign w:val="bottom"/>
          </w:tcPr>
          <w:p>
            <w:pPr>
              <w:spacing w:after="0"/>
              <w:rPr>
                <w:sz w:val="1"/>
                <w:szCs w:val="1"/>
                <w:color w:val="auto"/>
              </w:rPr>
            </w:pPr>
          </w:p>
        </w:tc>
      </w:tr>
      <w:tr>
        <w:trPr>
          <w:trHeight w:val="117"/>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190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2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45"/>
        </w:trPr>
        <w:tc>
          <w:tcPr>
            <w:tcW w:w="1380" w:type="dxa"/>
            <w:vAlign w:val="bottom"/>
            <w:tcBorders>
              <w:bottom w:val="single" w:sz="8" w:color="auto"/>
            </w:tcBorders>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4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1"/>
                <w:szCs w:val="11"/>
                <w:b w:val="1"/>
                <w:bCs w:val="1"/>
                <w:color w:val="auto"/>
              </w:rPr>
              <w:t>Being Offered</w:t>
            </w:r>
            <w:r>
              <w:rPr>
                <w:rFonts w:ascii="Times New Roman" w:cs="Times New Roman" w:eastAsia="Times New Roman" w:hAnsi="Times New Roman"/>
                <w:sz w:val="8"/>
                <w:szCs w:val="8"/>
                <w:b w:val="1"/>
                <w:bCs w:val="1"/>
                <w:color w:val="auto"/>
              </w:rPr>
              <w:t>(2)</w:t>
            </w:r>
          </w:p>
        </w:tc>
        <w:tc>
          <w:tcPr>
            <w:tcW w:w="62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2"/>
                <w:szCs w:val="12"/>
                <w:color w:val="auto"/>
              </w:rPr>
            </w:pP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51"/>
        </w:trPr>
        <w:tc>
          <w:tcPr>
            <w:tcW w:w="3280" w:type="dxa"/>
            <w:vAlign w:val="bottom"/>
            <w:tcBorders>
              <w:top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Kevin Mackenzie</w:t>
            </w:r>
            <w:r>
              <w:rPr>
                <w:rFonts w:ascii="Times New Roman" w:cs="Times New Roman" w:eastAsia="Times New Roman" w:hAnsi="Times New Roman"/>
                <w:sz w:val="17"/>
                <w:szCs w:val="17"/>
                <w:color w:val="auto"/>
                <w:vertAlign w:val="superscript"/>
              </w:rPr>
              <w:t>(66)</w:t>
            </w:r>
          </w:p>
        </w:tc>
        <w:tc>
          <w:tcPr>
            <w:tcW w:w="640" w:type="dxa"/>
            <w:vAlign w:val="bottom"/>
            <w:tcBorders>
              <w:top w:val="single" w:sz="8" w:color="CCEEFF"/>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3,900</w:t>
            </w:r>
          </w:p>
        </w:tc>
        <w:tc>
          <w:tcPr>
            <w:tcW w:w="3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3,408</w:t>
            </w:r>
          </w:p>
        </w:tc>
        <w:tc>
          <w:tcPr>
            <w:tcW w:w="3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492</w:t>
            </w:r>
          </w:p>
        </w:tc>
        <w:tc>
          <w:tcPr>
            <w:tcW w:w="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Samir Mammadov</w:t>
            </w:r>
            <w:r>
              <w:rPr>
                <w:rFonts w:ascii="Times New Roman" w:cs="Times New Roman" w:eastAsia="Times New Roman" w:hAnsi="Times New Roman"/>
                <w:sz w:val="19"/>
                <w:szCs w:val="19"/>
                <w:color w:val="auto"/>
                <w:vertAlign w:val="superscript"/>
              </w:rPr>
              <w:t>(67)</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4,008</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600</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Tanvir Ali Master</w:t>
            </w:r>
            <w:r>
              <w:rPr>
                <w:rFonts w:ascii="Times New Roman" w:cs="Times New Roman" w:eastAsia="Times New Roman" w:hAnsi="Times New Roman"/>
                <w:sz w:val="19"/>
                <w:szCs w:val="19"/>
                <w:color w:val="auto"/>
                <w:vertAlign w:val="superscript"/>
              </w:rPr>
              <w:t>(68)</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4,474</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Larry M. Matsui</w:t>
            </w:r>
            <w:r>
              <w:rPr>
                <w:rFonts w:ascii="Times New Roman" w:cs="Times New Roman" w:eastAsia="Times New Roman" w:hAnsi="Times New Roman"/>
                <w:sz w:val="19"/>
                <w:szCs w:val="19"/>
                <w:color w:val="auto"/>
                <w:vertAlign w:val="superscript"/>
              </w:rPr>
              <w:t>(69)</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25,198</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18,382</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Carol Matsui</w:t>
            </w:r>
            <w:r>
              <w:rPr>
                <w:rFonts w:ascii="Times New Roman" w:cs="Times New Roman" w:eastAsia="Times New Roman" w:hAnsi="Times New Roman"/>
                <w:sz w:val="19"/>
                <w:szCs w:val="19"/>
                <w:color w:val="auto"/>
                <w:vertAlign w:val="superscript"/>
              </w:rPr>
              <w:t>(70)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12,599</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9,191</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Maz Partners LP</w:t>
            </w:r>
            <w:r>
              <w:rPr>
                <w:rFonts w:ascii="Times New Roman" w:cs="Times New Roman" w:eastAsia="Times New Roman" w:hAnsi="Times New Roman"/>
                <w:sz w:val="19"/>
                <w:szCs w:val="19"/>
                <w:color w:val="auto"/>
                <w:vertAlign w:val="superscript"/>
              </w:rPr>
              <w:t>(71)</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William Mccluskey</w:t>
            </w:r>
            <w:r>
              <w:rPr>
                <w:rFonts w:ascii="Times New Roman" w:cs="Times New Roman" w:eastAsia="Times New Roman" w:hAnsi="Times New Roman"/>
                <w:sz w:val="19"/>
                <w:szCs w:val="19"/>
                <w:color w:val="auto"/>
                <w:vertAlign w:val="superscript"/>
              </w:rPr>
              <w:t>(72)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216,171</w:t>
            </w:r>
          </w:p>
        </w:tc>
        <w:tc>
          <w:tcPr>
            <w:tcW w:w="13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w w:val="99"/>
              </w:rPr>
              <w:t>4.99%</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218,181</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112,670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Michael W. Mcguiness</w:t>
            </w:r>
            <w:r>
              <w:rPr>
                <w:rFonts w:ascii="Times New Roman" w:cs="Times New Roman" w:eastAsia="Times New Roman" w:hAnsi="Times New Roman"/>
                <w:sz w:val="19"/>
                <w:szCs w:val="19"/>
                <w:color w:val="auto"/>
                <w:vertAlign w:val="superscript"/>
              </w:rPr>
              <w:t>(73)</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54,540</w:t>
            </w:r>
          </w:p>
        </w:tc>
        <w:tc>
          <w:tcPr>
            <w:tcW w:w="13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1.28%</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54,540</w:t>
            </w:r>
          </w:p>
        </w:tc>
        <w:tc>
          <w:tcPr>
            <w:tcW w:w="3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Steven L. Mcknight</w:t>
            </w:r>
            <w:r>
              <w:rPr>
                <w:rFonts w:ascii="Times New Roman" w:cs="Times New Roman" w:eastAsia="Times New Roman" w:hAnsi="Times New Roman"/>
                <w:sz w:val="19"/>
                <w:szCs w:val="19"/>
                <w:color w:val="auto"/>
                <w:vertAlign w:val="superscript"/>
              </w:rPr>
              <w:t>(74)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7,521</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6,813</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708</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Nicholas L. Miller</w:t>
            </w:r>
            <w:r>
              <w:rPr>
                <w:rFonts w:ascii="Times New Roman" w:cs="Times New Roman" w:eastAsia="Times New Roman" w:hAnsi="Times New Roman"/>
                <w:sz w:val="19"/>
                <w:szCs w:val="19"/>
                <w:color w:val="auto"/>
                <w:vertAlign w:val="superscript"/>
              </w:rPr>
              <w:t>(75)</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7,957</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1,141</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2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Michael M. Kellen Descendants 2012 GST</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Trust</w:t>
            </w:r>
            <w:r>
              <w:rPr>
                <w:rFonts w:ascii="Times New Roman" w:cs="Times New Roman" w:eastAsia="Times New Roman" w:hAnsi="Times New Roman"/>
                <w:sz w:val="21"/>
                <w:szCs w:val="21"/>
                <w:color w:val="auto"/>
                <w:vertAlign w:val="superscript"/>
              </w:rPr>
              <w:t>(76)</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68,181</w:t>
            </w:r>
          </w:p>
        </w:tc>
        <w:tc>
          <w:tcPr>
            <w:tcW w:w="13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w w:val="99"/>
              </w:rPr>
              <w:t>1.60%</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68,181</w:t>
            </w: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John Scott Moore</w:t>
            </w:r>
            <w:r>
              <w:rPr>
                <w:rFonts w:ascii="Times New Roman" w:cs="Times New Roman" w:eastAsia="Times New Roman" w:hAnsi="Times New Roman"/>
                <w:sz w:val="19"/>
                <w:szCs w:val="19"/>
                <w:color w:val="auto"/>
                <w:vertAlign w:val="superscript"/>
              </w:rPr>
              <w:t>(77)</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2,093</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Jorge Morazzani</w:t>
            </w:r>
            <w:r>
              <w:rPr>
                <w:rFonts w:ascii="Times New Roman" w:cs="Times New Roman" w:eastAsia="Times New Roman" w:hAnsi="Times New Roman"/>
                <w:sz w:val="19"/>
                <w:szCs w:val="19"/>
                <w:color w:val="auto"/>
                <w:vertAlign w:val="superscript"/>
              </w:rPr>
              <w:t>(78)</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2,862</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Edmond Allen Morrison</w:t>
            </w:r>
            <w:r>
              <w:rPr>
                <w:rFonts w:ascii="Times New Roman" w:cs="Times New Roman" w:eastAsia="Times New Roman" w:hAnsi="Times New Roman"/>
                <w:sz w:val="19"/>
                <w:szCs w:val="19"/>
                <w:color w:val="auto"/>
                <w:vertAlign w:val="superscript"/>
              </w:rPr>
              <w:t>(79)</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6,088</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1,999</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Sam Naficy</w:t>
            </w:r>
            <w:r>
              <w:rPr>
                <w:rFonts w:ascii="Times New Roman" w:cs="Times New Roman" w:eastAsia="Times New Roman" w:hAnsi="Times New Roman"/>
                <w:sz w:val="19"/>
                <w:szCs w:val="19"/>
                <w:color w:val="auto"/>
                <w:vertAlign w:val="superscript"/>
              </w:rPr>
              <w:t>(80)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26,488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13,632</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12,856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James Eric Nicely &amp; Karen B Nicely JTWROS</w:t>
            </w:r>
            <w:r>
              <w:rPr>
                <w:rFonts w:ascii="Times New Roman" w:cs="Times New Roman" w:eastAsia="Times New Roman" w:hAnsi="Times New Roman"/>
                <w:sz w:val="19"/>
                <w:szCs w:val="19"/>
                <w:color w:val="auto"/>
                <w:vertAlign w:val="superscript"/>
              </w:rPr>
              <w:t>(81)</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1,438</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1,362</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Donald J. Nitti</w:t>
            </w:r>
            <w:r>
              <w:rPr>
                <w:rFonts w:ascii="Times New Roman" w:cs="Times New Roman" w:eastAsia="Times New Roman" w:hAnsi="Times New Roman"/>
                <w:sz w:val="19"/>
                <w:szCs w:val="19"/>
                <w:color w:val="auto"/>
                <w:vertAlign w:val="superscript"/>
              </w:rPr>
              <w:t>(82)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20,448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20,448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55"/>
        </w:trPr>
        <w:tc>
          <w:tcPr>
            <w:tcW w:w="3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Richard Douglas Nix Revoc Trust DTD</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140"/>
              <w:spacing w:after="0" w:line="185" w:lineRule="exact"/>
              <w:rPr>
                <w:sz w:val="20"/>
                <w:szCs w:val="20"/>
                <w:color w:val="auto"/>
              </w:rPr>
            </w:pPr>
            <w:r>
              <w:rPr>
                <w:rFonts w:ascii="Times New Roman" w:cs="Times New Roman" w:eastAsia="Times New Roman" w:hAnsi="Times New Roman"/>
                <w:sz w:val="14"/>
                <w:szCs w:val="14"/>
                <w:color w:val="auto"/>
              </w:rPr>
              <w:t>4-28-2019</w:t>
            </w:r>
            <w:r>
              <w:rPr>
                <w:rFonts w:ascii="Times New Roman" w:cs="Times New Roman" w:eastAsia="Times New Roman" w:hAnsi="Times New Roman"/>
                <w:sz w:val="21"/>
                <w:szCs w:val="21"/>
                <w:color w:val="auto"/>
                <w:vertAlign w:val="superscript"/>
              </w:rPr>
              <w:t>(83)</w:t>
            </w:r>
          </w:p>
        </w:tc>
        <w:tc>
          <w:tcPr>
            <w:tcW w:w="19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14,976</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13,629</w:t>
            </w:r>
          </w:p>
        </w:tc>
        <w:tc>
          <w:tcPr>
            <w:tcW w:w="3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1,347</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Jordan Nolte</w:t>
            </w:r>
            <w:r>
              <w:rPr>
                <w:rFonts w:ascii="Times New Roman" w:cs="Times New Roman" w:eastAsia="Times New Roman" w:hAnsi="Times New Roman"/>
                <w:sz w:val="19"/>
                <w:szCs w:val="19"/>
                <w:color w:val="auto"/>
                <w:vertAlign w:val="superscript"/>
              </w:rPr>
              <w:t>(84)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13,629</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13,629</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55"/>
        </w:trPr>
        <w:tc>
          <w:tcPr>
            <w:tcW w:w="3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Mason Henry Otten &amp; Aubree Rose Otten</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tcPr>
          <w:p>
            <w:pPr>
              <w:ind w:left="140"/>
              <w:spacing w:after="0" w:line="185" w:lineRule="exact"/>
              <w:rPr>
                <w:sz w:val="20"/>
                <w:szCs w:val="20"/>
                <w:color w:val="auto"/>
              </w:rPr>
            </w:pPr>
            <w:r>
              <w:rPr>
                <w:rFonts w:ascii="Times New Roman" w:cs="Times New Roman" w:eastAsia="Times New Roman" w:hAnsi="Times New Roman"/>
                <w:sz w:val="14"/>
                <w:szCs w:val="14"/>
                <w:color w:val="auto"/>
              </w:rPr>
              <w:t>JTWROS</w:t>
            </w:r>
            <w:r>
              <w:rPr>
                <w:rFonts w:ascii="Times New Roman" w:cs="Times New Roman" w:eastAsia="Times New Roman" w:hAnsi="Times New Roman"/>
                <w:sz w:val="21"/>
                <w:szCs w:val="21"/>
                <w:color w:val="auto"/>
                <w:vertAlign w:val="superscript"/>
              </w:rPr>
              <w:t>(85)</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11,554</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5,454</w:t>
            </w:r>
          </w:p>
        </w:tc>
        <w:tc>
          <w:tcPr>
            <w:tcW w:w="3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6,100</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Padinha Management Trust DTD 8-12-2021</w:t>
            </w:r>
            <w:r>
              <w:rPr>
                <w:rFonts w:ascii="Times New Roman" w:cs="Times New Roman" w:eastAsia="Times New Roman" w:hAnsi="Times New Roman"/>
                <w:sz w:val="19"/>
                <w:szCs w:val="19"/>
                <w:color w:val="auto"/>
                <w:vertAlign w:val="superscript"/>
              </w:rPr>
              <w:t>(86)</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14,598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6,816</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7,782</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Benjamin L. Padnos and Affiliates</w:t>
            </w:r>
            <w:r>
              <w:rPr>
                <w:rFonts w:ascii="Times New Roman" w:cs="Times New Roman" w:eastAsia="Times New Roman" w:hAnsi="Times New Roman"/>
                <w:sz w:val="19"/>
                <w:szCs w:val="19"/>
                <w:color w:val="auto"/>
                <w:vertAlign w:val="superscript"/>
              </w:rPr>
              <w:t>(87)</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23,862</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23,862</w:t>
            </w:r>
          </w:p>
        </w:tc>
        <w:tc>
          <w:tcPr>
            <w:tcW w:w="3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55"/>
        </w:trPr>
        <w:tc>
          <w:tcPr>
            <w:tcW w:w="32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Jeffrey S. Padnos &amp; Margaret M. Padnos</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JTWROS</w:t>
            </w:r>
            <w:r>
              <w:rPr>
                <w:rFonts w:ascii="Times New Roman" w:cs="Times New Roman" w:eastAsia="Times New Roman" w:hAnsi="Times New Roman"/>
                <w:sz w:val="21"/>
                <w:szCs w:val="21"/>
                <w:color w:val="auto"/>
                <w:vertAlign w:val="superscript"/>
              </w:rPr>
              <w:t>(88)</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10,227</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10,227</w:t>
            </w: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AJP Living Trust DTD 4-1-2008</w:t>
            </w:r>
            <w:r>
              <w:rPr>
                <w:rFonts w:ascii="Times New Roman" w:cs="Times New Roman" w:eastAsia="Times New Roman" w:hAnsi="Times New Roman"/>
                <w:sz w:val="19"/>
                <w:szCs w:val="19"/>
                <w:color w:val="auto"/>
                <w:vertAlign w:val="superscript"/>
              </w:rPr>
              <w:t>(89)</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Thomas Puthiyamadam</w:t>
            </w:r>
            <w:r>
              <w:rPr>
                <w:rFonts w:ascii="Times New Roman" w:cs="Times New Roman" w:eastAsia="Times New Roman" w:hAnsi="Times New Roman"/>
                <w:sz w:val="19"/>
                <w:szCs w:val="19"/>
                <w:color w:val="auto"/>
                <w:vertAlign w:val="superscript"/>
              </w:rPr>
              <w:t>(90)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14,736</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11,328</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Michael F. Quinlan</w:t>
            </w:r>
            <w:r>
              <w:rPr>
                <w:rFonts w:ascii="Times New Roman" w:cs="Times New Roman" w:eastAsia="Times New Roman" w:hAnsi="Times New Roman"/>
                <w:sz w:val="19"/>
                <w:szCs w:val="19"/>
                <w:color w:val="auto"/>
                <w:vertAlign w:val="superscript"/>
              </w:rPr>
              <w:t>(91)</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2,158</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115</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2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Peter D. Raymond Revoc. Trust DTD</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8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11-23-2012</w:t>
            </w:r>
            <w:r>
              <w:rPr>
                <w:rFonts w:ascii="Times New Roman" w:cs="Times New Roman" w:eastAsia="Times New Roman" w:hAnsi="Times New Roman"/>
                <w:sz w:val="21"/>
                <w:szCs w:val="21"/>
                <w:color w:val="auto"/>
                <w:vertAlign w:val="superscript"/>
              </w:rPr>
              <w:t>(92)</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2,954</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2,454</w:t>
            </w: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Aaron Resnick</w:t>
            </w:r>
            <w:r>
              <w:rPr>
                <w:rFonts w:ascii="Times New Roman" w:cs="Times New Roman" w:eastAsia="Times New Roman" w:hAnsi="Times New Roman"/>
                <w:sz w:val="19"/>
                <w:szCs w:val="19"/>
                <w:color w:val="auto"/>
                <w:vertAlign w:val="superscript"/>
              </w:rPr>
              <w:t>(93)</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6,250</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4,089</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2,161</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Erick E Richardson</w:t>
            </w:r>
            <w:r>
              <w:rPr>
                <w:rFonts w:ascii="Times New Roman" w:cs="Times New Roman" w:eastAsia="Times New Roman" w:hAnsi="Times New Roman"/>
                <w:sz w:val="19"/>
                <w:szCs w:val="19"/>
                <w:color w:val="auto"/>
                <w:vertAlign w:val="superscript"/>
              </w:rPr>
              <w:t>(94)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217,884</w:t>
            </w:r>
          </w:p>
        </w:tc>
        <w:tc>
          <w:tcPr>
            <w:tcW w:w="13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w w:val="99"/>
              </w:rPr>
              <w:t>4.99%</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286,362</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113,054</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Andrew Schwartzberg</w:t>
            </w:r>
            <w:r>
              <w:rPr>
                <w:rFonts w:ascii="Times New Roman" w:cs="Times New Roman" w:eastAsia="Times New Roman" w:hAnsi="Times New Roman"/>
                <w:sz w:val="19"/>
                <w:szCs w:val="19"/>
                <w:color w:val="auto"/>
                <w:vertAlign w:val="superscript"/>
              </w:rPr>
              <w:t>(95)</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213,419</w:t>
            </w:r>
          </w:p>
        </w:tc>
        <w:tc>
          <w:tcPr>
            <w:tcW w:w="13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4.99%</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770,424</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253,882</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Donald P. Sesterhenn</w:t>
            </w:r>
            <w:r>
              <w:rPr>
                <w:rFonts w:ascii="Times New Roman" w:cs="Times New Roman" w:eastAsia="Times New Roman" w:hAnsi="Times New Roman"/>
                <w:sz w:val="19"/>
                <w:szCs w:val="19"/>
                <w:color w:val="auto"/>
                <w:vertAlign w:val="superscript"/>
              </w:rPr>
              <w:t>(96)</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2,328</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1,362</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966</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Thomas Euclid Smith, Jr.</w:t>
            </w:r>
            <w:r>
              <w:rPr>
                <w:rFonts w:ascii="Times New Roman" w:cs="Times New Roman" w:eastAsia="Times New Roman" w:hAnsi="Times New Roman"/>
                <w:sz w:val="19"/>
                <w:szCs w:val="19"/>
                <w:color w:val="auto"/>
                <w:vertAlign w:val="superscript"/>
              </w:rPr>
              <w:t>(97)</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2,876</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833</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The Snow Family Trust DTD 6-4-2021</w:t>
            </w:r>
            <w:r>
              <w:rPr>
                <w:rFonts w:ascii="Times New Roman" w:cs="Times New Roman" w:eastAsia="Times New Roman" w:hAnsi="Times New Roman"/>
                <w:sz w:val="19"/>
                <w:szCs w:val="19"/>
                <w:color w:val="auto"/>
                <w:vertAlign w:val="superscript"/>
              </w:rPr>
              <w:t>(98)</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4,152</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3,408</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744</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James Somers</w:t>
            </w:r>
            <w:r>
              <w:rPr>
                <w:rFonts w:ascii="Times New Roman" w:cs="Times New Roman" w:eastAsia="Times New Roman" w:hAnsi="Times New Roman"/>
                <w:sz w:val="19"/>
                <w:szCs w:val="19"/>
                <w:color w:val="auto"/>
                <w:vertAlign w:val="superscript"/>
              </w:rPr>
              <w:t>(99)</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8,010</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2,727</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5,283</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Stealth Funding Corp</w:t>
            </w:r>
            <w:r>
              <w:rPr>
                <w:rFonts w:ascii="Times New Roman" w:cs="Times New Roman" w:eastAsia="Times New Roman" w:hAnsi="Times New Roman"/>
                <w:sz w:val="19"/>
                <w:szCs w:val="19"/>
                <w:color w:val="auto"/>
                <w:vertAlign w:val="superscript"/>
              </w:rPr>
              <w:t>(100)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4,392</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3,135</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1,257</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Strome Mezzanine Fund II LP</w:t>
            </w:r>
            <w:r>
              <w:rPr>
                <w:rFonts w:ascii="Times New Roman" w:cs="Times New Roman" w:eastAsia="Times New Roman" w:hAnsi="Times New Roman"/>
                <w:sz w:val="19"/>
                <w:szCs w:val="19"/>
                <w:color w:val="auto"/>
                <w:vertAlign w:val="superscript"/>
              </w:rPr>
              <w:t>(101)</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214,841</w:t>
            </w:r>
          </w:p>
        </w:tc>
        <w:tc>
          <w:tcPr>
            <w:tcW w:w="13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4.99%</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886,362</w:t>
            </w:r>
          </w:p>
        </w:tc>
        <w:tc>
          <w:tcPr>
            <w:tcW w:w="3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261,393</w:t>
            </w: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James Douglas Summa</w:t>
            </w:r>
            <w:r>
              <w:rPr>
                <w:rFonts w:ascii="Times New Roman" w:cs="Times New Roman" w:eastAsia="Times New Roman" w:hAnsi="Times New Roman"/>
                <w:sz w:val="19"/>
                <w:szCs w:val="19"/>
                <w:color w:val="auto"/>
                <w:vertAlign w:val="superscript"/>
              </w:rPr>
              <w:t>(102)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3,700</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1,657</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Sweet Grass 490</w:t>
            </w:r>
            <w:r>
              <w:rPr>
                <w:rFonts w:ascii="Times New Roman" w:cs="Times New Roman" w:eastAsia="Times New Roman" w:hAnsi="Times New Roman"/>
                <w:sz w:val="19"/>
                <w:szCs w:val="19"/>
                <w:color w:val="auto"/>
                <w:vertAlign w:val="superscript"/>
              </w:rPr>
              <w:t>(103)</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6,813</w:t>
            </w:r>
          </w:p>
        </w:tc>
        <w:tc>
          <w:tcPr>
            <w:tcW w:w="13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6,813</w:t>
            </w:r>
          </w:p>
        </w:tc>
        <w:tc>
          <w:tcPr>
            <w:tcW w:w="3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Rajiv A. Thadani</w:t>
            </w:r>
            <w:r>
              <w:rPr>
                <w:rFonts w:ascii="Times New Roman" w:cs="Times New Roman" w:eastAsia="Times New Roman" w:hAnsi="Times New Roman"/>
                <w:sz w:val="19"/>
                <w:szCs w:val="19"/>
                <w:color w:val="auto"/>
                <w:vertAlign w:val="superscript"/>
              </w:rPr>
              <w:t>(104)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5,604</w:t>
            </w:r>
          </w:p>
        </w:tc>
        <w:tc>
          <w:tcPr>
            <w:tcW w:w="13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5,454</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12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gridSpan w:val="2"/>
          </w:tcPr>
          <w:p>
            <w:pPr>
              <w:jc w:val="right"/>
              <w:ind w:right="761"/>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38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Beneficial Ownership Prior to this</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Beneficial Ownership After this</w:t>
            </w: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3"/>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jc w:val="center"/>
              <w:ind w:right="536"/>
              <w:spacing w:after="0"/>
              <w:rPr>
                <w:sz w:val="20"/>
                <w:szCs w:val="20"/>
                <w:color w:val="auto"/>
              </w:rPr>
            </w:pPr>
            <w:r>
              <w:rPr>
                <w:rFonts w:ascii="Times New Roman" w:cs="Times New Roman" w:eastAsia="Times New Roman" w:hAnsi="Times New Roman"/>
                <w:sz w:val="11"/>
                <w:szCs w:val="11"/>
                <w:b w:val="1"/>
                <w:bCs w:val="1"/>
                <w:color w:val="auto"/>
              </w:rPr>
              <w:t>Offering</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400" w:type="dxa"/>
            <w:vAlign w:val="bottom"/>
          </w:tcPr>
          <w:p>
            <w:pPr>
              <w:spacing w:after="0"/>
              <w:rPr>
                <w:sz w:val="7"/>
                <w:szCs w:val="7"/>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62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0" w:type="dxa"/>
            <w:vAlign w:val="bottom"/>
          </w:tcPr>
          <w:p>
            <w:pPr>
              <w:spacing w:after="0"/>
              <w:rPr>
                <w:sz w:val="1"/>
                <w:szCs w:val="1"/>
                <w:color w:val="auto"/>
              </w:rPr>
            </w:pPr>
          </w:p>
        </w:tc>
      </w:tr>
      <w:tr>
        <w:trPr>
          <w:trHeight w:val="117"/>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17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3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45"/>
        </w:trPr>
        <w:tc>
          <w:tcPr>
            <w:tcW w:w="138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30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1"/>
                <w:szCs w:val="11"/>
                <w:b w:val="1"/>
                <w:bCs w:val="1"/>
                <w:color w:val="auto"/>
              </w:rPr>
              <w:t>Being Offered</w:t>
            </w:r>
            <w:r>
              <w:rPr>
                <w:rFonts w:ascii="Times New Roman" w:cs="Times New Roman" w:eastAsia="Times New Roman" w:hAnsi="Times New Roman"/>
                <w:sz w:val="8"/>
                <w:szCs w:val="8"/>
                <w:b w:val="1"/>
                <w:bCs w:val="1"/>
                <w:color w:val="auto"/>
              </w:rPr>
              <w:t>(2)</w:t>
            </w:r>
          </w:p>
        </w:tc>
        <w:tc>
          <w:tcPr>
            <w:tcW w:w="62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tcPr>
          <w:p>
            <w:pPr>
              <w:spacing w:after="0"/>
              <w:rPr>
                <w:sz w:val="12"/>
                <w:szCs w:val="12"/>
                <w:color w:val="auto"/>
              </w:rPr>
            </w:pP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51"/>
        </w:trPr>
        <w:tc>
          <w:tcPr>
            <w:tcW w:w="3100" w:type="dxa"/>
            <w:vAlign w:val="bottom"/>
            <w:tcBorders>
              <w:top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Chetan R. Vagholkar</w:t>
            </w:r>
            <w:r>
              <w:rPr>
                <w:rFonts w:ascii="Times New Roman" w:cs="Times New Roman" w:eastAsia="Times New Roman" w:hAnsi="Times New Roman"/>
                <w:sz w:val="17"/>
                <w:szCs w:val="17"/>
                <w:color w:val="auto"/>
                <w:vertAlign w:val="superscript"/>
              </w:rPr>
              <w:t>(105)</w:t>
            </w:r>
          </w:p>
        </w:tc>
        <w:tc>
          <w:tcPr>
            <w:tcW w:w="620" w:type="dxa"/>
            <w:vAlign w:val="bottom"/>
            <w:tcBorders>
              <w:top w:val="single" w:sz="8" w:color="CCEEFF"/>
            </w:tcBorders>
            <w:shd w:val="clear" w:color="auto" w:fill="CCEEFF"/>
          </w:tcPr>
          <w:p>
            <w:pPr>
              <w:jc w:val="center"/>
              <w:ind w:right="10"/>
              <w:spacing w:after="0" w:line="151" w:lineRule="exact"/>
              <w:rPr>
                <w:sz w:val="20"/>
                <w:szCs w:val="20"/>
                <w:color w:val="auto"/>
              </w:rPr>
            </w:pPr>
            <w:r>
              <w:rPr>
                <w:rFonts w:ascii="Times New Roman" w:cs="Times New Roman" w:eastAsia="Times New Roman" w:hAnsi="Times New Roman"/>
                <w:sz w:val="14"/>
                <w:szCs w:val="14"/>
                <w:color w:val="auto"/>
                <w:w w:val="95"/>
              </w:rPr>
              <w:t>8,486</w:t>
            </w:r>
          </w:p>
        </w:tc>
        <w:tc>
          <w:tcPr>
            <w:tcW w:w="3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95"/>
              </w:rPr>
              <w:t>4,770</w:t>
            </w:r>
          </w:p>
        </w:tc>
        <w:tc>
          <w:tcPr>
            <w:tcW w:w="4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3,716</w:t>
            </w:r>
          </w:p>
        </w:tc>
        <w:tc>
          <w:tcPr>
            <w:tcW w:w="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Ellen Louise Valde</w:t>
            </w:r>
            <w:r>
              <w:rPr>
                <w:rFonts w:ascii="Times New Roman" w:cs="Times New Roman" w:eastAsia="Times New Roman" w:hAnsi="Times New Roman"/>
                <w:sz w:val="19"/>
                <w:szCs w:val="19"/>
                <w:color w:val="auto"/>
                <w:vertAlign w:val="superscript"/>
              </w:rPr>
              <w:t>(106)</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5"/>
              </w:rPr>
              <w:t>2,563</w:t>
            </w:r>
          </w:p>
        </w:tc>
        <w:tc>
          <w:tcPr>
            <w:tcW w:w="1360" w:type="dxa"/>
            <w:vAlign w:val="bottom"/>
            <w:gridSpan w:val="2"/>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2,043</w:t>
            </w:r>
          </w:p>
        </w:tc>
        <w:tc>
          <w:tcPr>
            <w:tcW w:w="4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520</w:t>
            </w:r>
          </w:p>
        </w:tc>
        <w:tc>
          <w:tcPr>
            <w:tcW w:w="1240" w:type="dxa"/>
            <w:vAlign w:val="bottom"/>
            <w:gridSpan w:val="2"/>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Daniel M. Valerio</w:t>
            </w:r>
            <w:r>
              <w:rPr>
                <w:rFonts w:ascii="Times New Roman" w:cs="Times New Roman" w:eastAsia="Times New Roman" w:hAnsi="Times New Roman"/>
                <w:sz w:val="19"/>
                <w:szCs w:val="19"/>
                <w:color w:val="auto"/>
                <w:vertAlign w:val="superscript"/>
              </w:rPr>
              <w:t>(107)</w:t>
            </w:r>
          </w:p>
        </w:tc>
        <w:tc>
          <w:tcPr>
            <w:tcW w:w="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5"/>
              </w:rPr>
              <w:t>3,706</w:t>
            </w:r>
          </w:p>
        </w:tc>
        <w:tc>
          <w:tcPr>
            <w:tcW w:w="13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2,043</w:t>
            </w:r>
          </w:p>
        </w:tc>
        <w:tc>
          <w:tcPr>
            <w:tcW w:w="4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1,663</w:t>
            </w:r>
          </w:p>
        </w:tc>
        <w:tc>
          <w:tcPr>
            <w:tcW w:w="124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Gerard J. Verweij</w:t>
            </w:r>
            <w:r>
              <w:rPr>
                <w:rFonts w:ascii="Times New Roman" w:cs="Times New Roman" w:eastAsia="Times New Roman" w:hAnsi="Times New Roman"/>
                <w:sz w:val="19"/>
                <w:szCs w:val="19"/>
                <w:color w:val="auto"/>
                <w:vertAlign w:val="superscript"/>
              </w:rPr>
              <w:t>(108)</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5"/>
              </w:rPr>
              <w:t>4,241</w:t>
            </w:r>
          </w:p>
        </w:tc>
        <w:tc>
          <w:tcPr>
            <w:tcW w:w="1360" w:type="dxa"/>
            <w:vAlign w:val="bottom"/>
            <w:gridSpan w:val="2"/>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3,408</w:t>
            </w:r>
          </w:p>
        </w:tc>
        <w:tc>
          <w:tcPr>
            <w:tcW w:w="4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833</w:t>
            </w:r>
          </w:p>
        </w:tc>
        <w:tc>
          <w:tcPr>
            <w:tcW w:w="1240" w:type="dxa"/>
            <w:vAlign w:val="bottom"/>
            <w:gridSpan w:val="2"/>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5"/>
        </w:trPr>
        <w:tc>
          <w:tcPr>
            <w:tcW w:w="31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Greg A. Walker &amp; Susan H. Walker</w:t>
            </w: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4"/>
                <w:szCs w:val="14"/>
                <w:color w:val="auto"/>
              </w:rPr>
              <w:t>JTWROS</w:t>
            </w:r>
            <w:r>
              <w:rPr>
                <w:rFonts w:ascii="Times New Roman" w:cs="Times New Roman" w:eastAsia="Times New Roman" w:hAnsi="Times New Roman"/>
                <w:sz w:val="21"/>
                <w:szCs w:val="21"/>
                <w:color w:val="auto"/>
                <w:vertAlign w:val="superscript"/>
              </w:rPr>
              <w:t>(109)</w:t>
            </w:r>
          </w:p>
        </w:tc>
        <w:tc>
          <w:tcPr>
            <w:tcW w:w="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8"/>
              </w:rPr>
              <w:t>18,768</w:t>
            </w:r>
          </w:p>
        </w:tc>
        <w:tc>
          <w:tcPr>
            <w:tcW w:w="13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6,816</w:t>
            </w:r>
          </w:p>
        </w:tc>
        <w:tc>
          <w:tcPr>
            <w:tcW w:w="4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11,952</w:t>
            </w:r>
          </w:p>
        </w:tc>
        <w:tc>
          <w:tcPr>
            <w:tcW w:w="124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Martin S. Walker</w:t>
            </w:r>
            <w:r>
              <w:rPr>
                <w:rFonts w:ascii="Times New Roman" w:cs="Times New Roman" w:eastAsia="Times New Roman" w:hAnsi="Times New Roman"/>
                <w:sz w:val="19"/>
                <w:szCs w:val="19"/>
                <w:color w:val="auto"/>
                <w:vertAlign w:val="superscript"/>
              </w:rPr>
              <w:t>(110)</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8"/>
              </w:rPr>
              <w:t>13,635</w:t>
            </w:r>
          </w:p>
        </w:tc>
        <w:tc>
          <w:tcPr>
            <w:tcW w:w="1360" w:type="dxa"/>
            <w:vAlign w:val="bottom"/>
            <w:gridSpan w:val="2"/>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13,635</w:t>
            </w:r>
          </w:p>
        </w:tc>
        <w:tc>
          <w:tcPr>
            <w:tcW w:w="42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1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Brian Weitman</w:t>
            </w:r>
            <w:r>
              <w:rPr>
                <w:rFonts w:ascii="Times New Roman" w:cs="Times New Roman" w:eastAsia="Times New Roman" w:hAnsi="Times New Roman"/>
                <w:sz w:val="19"/>
                <w:szCs w:val="19"/>
                <w:color w:val="auto"/>
                <w:vertAlign w:val="superscript"/>
              </w:rPr>
              <w:t>(111)</w:t>
            </w:r>
          </w:p>
        </w:tc>
        <w:tc>
          <w:tcPr>
            <w:tcW w:w="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8"/>
              </w:rPr>
              <w:t>54,915</w:t>
            </w:r>
          </w:p>
        </w:tc>
        <w:tc>
          <w:tcPr>
            <w:tcW w:w="136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4"/>
                <w:szCs w:val="14"/>
                <w:color w:val="auto"/>
                <w:w w:val="99"/>
              </w:rPr>
              <w:t>1.29%</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40,902</w:t>
            </w:r>
          </w:p>
        </w:tc>
        <w:tc>
          <w:tcPr>
            <w:tcW w:w="4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14,013</w:t>
            </w:r>
          </w:p>
        </w:tc>
        <w:tc>
          <w:tcPr>
            <w:tcW w:w="124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Shaheen Wirk</w:t>
            </w:r>
            <w:r>
              <w:rPr>
                <w:rFonts w:ascii="Times New Roman" w:cs="Times New Roman" w:eastAsia="Times New Roman" w:hAnsi="Times New Roman"/>
                <w:sz w:val="19"/>
                <w:szCs w:val="19"/>
                <w:color w:val="auto"/>
                <w:vertAlign w:val="superscript"/>
              </w:rPr>
              <w:t>(112)</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8"/>
              </w:rPr>
              <w:t>13,632</w:t>
            </w:r>
          </w:p>
        </w:tc>
        <w:tc>
          <w:tcPr>
            <w:tcW w:w="1360" w:type="dxa"/>
            <w:vAlign w:val="bottom"/>
            <w:gridSpan w:val="2"/>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13,632</w:t>
            </w:r>
          </w:p>
        </w:tc>
        <w:tc>
          <w:tcPr>
            <w:tcW w:w="42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r>
        <w:trPr>
          <w:trHeight w:val="170"/>
        </w:trPr>
        <w:tc>
          <w:tcPr>
            <w:tcW w:w="31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Kevin Wu</w:t>
            </w:r>
            <w:r>
              <w:rPr>
                <w:rFonts w:ascii="Times New Roman" w:cs="Times New Roman" w:eastAsia="Times New Roman" w:hAnsi="Times New Roman"/>
                <w:sz w:val="19"/>
                <w:szCs w:val="19"/>
                <w:color w:val="auto"/>
                <w:vertAlign w:val="superscript"/>
              </w:rPr>
              <w:t>(113)</w:t>
            </w:r>
          </w:p>
        </w:tc>
        <w:tc>
          <w:tcPr>
            <w:tcW w:w="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5"/>
              </w:rPr>
              <w:t>7,143</w:t>
            </w:r>
          </w:p>
        </w:tc>
        <w:tc>
          <w:tcPr>
            <w:tcW w:w="13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4,089</w:t>
            </w:r>
          </w:p>
        </w:tc>
        <w:tc>
          <w:tcPr>
            <w:tcW w:w="4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3,054</w:t>
            </w:r>
          </w:p>
        </w:tc>
        <w:tc>
          <w:tcPr>
            <w:tcW w:w="124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Eugene Zaino</w:t>
            </w:r>
            <w:r>
              <w:rPr>
                <w:rFonts w:ascii="Times New Roman" w:cs="Times New Roman" w:eastAsia="Times New Roman" w:hAnsi="Times New Roman"/>
                <w:sz w:val="19"/>
                <w:szCs w:val="19"/>
                <w:color w:val="auto"/>
                <w:vertAlign w:val="superscript"/>
              </w:rPr>
              <w:t>(114)</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5"/>
              </w:rPr>
              <w:t>6,531</w:t>
            </w:r>
          </w:p>
        </w:tc>
        <w:tc>
          <w:tcPr>
            <w:tcW w:w="1360" w:type="dxa"/>
            <w:vAlign w:val="bottom"/>
            <w:gridSpan w:val="2"/>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2,727</w:t>
            </w:r>
          </w:p>
        </w:tc>
        <w:tc>
          <w:tcPr>
            <w:tcW w:w="4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3,804</w:t>
            </w:r>
          </w:p>
        </w:tc>
        <w:tc>
          <w:tcPr>
            <w:tcW w:w="1240" w:type="dxa"/>
            <w:vAlign w:val="bottom"/>
            <w:gridSpan w:val="2"/>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Jeffrey E. Zaleski</w:t>
            </w:r>
            <w:r>
              <w:rPr>
                <w:rFonts w:ascii="Times New Roman" w:cs="Times New Roman" w:eastAsia="Times New Roman" w:hAnsi="Times New Roman"/>
                <w:sz w:val="19"/>
                <w:szCs w:val="19"/>
                <w:color w:val="auto"/>
                <w:vertAlign w:val="superscript"/>
              </w:rPr>
              <w:t>(115)</w:t>
            </w:r>
          </w:p>
        </w:tc>
        <w:tc>
          <w:tcPr>
            <w:tcW w:w="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5"/>
              </w:rPr>
              <w:t>3,769</w:t>
            </w:r>
          </w:p>
        </w:tc>
        <w:tc>
          <w:tcPr>
            <w:tcW w:w="13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2,727</w:t>
            </w:r>
          </w:p>
        </w:tc>
        <w:tc>
          <w:tcPr>
            <w:tcW w:w="4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1,042</w:t>
            </w:r>
          </w:p>
        </w:tc>
        <w:tc>
          <w:tcPr>
            <w:tcW w:w="124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Stephen V. Zawoyski</w:t>
            </w:r>
            <w:r>
              <w:rPr>
                <w:rFonts w:ascii="Times New Roman" w:cs="Times New Roman" w:eastAsia="Times New Roman" w:hAnsi="Times New Roman"/>
                <w:sz w:val="19"/>
                <w:szCs w:val="19"/>
                <w:color w:val="auto"/>
                <w:vertAlign w:val="superscript"/>
              </w:rPr>
              <w:t>(116)</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5"/>
              </w:rPr>
              <w:t>2,082</w:t>
            </w:r>
          </w:p>
        </w:tc>
        <w:tc>
          <w:tcPr>
            <w:tcW w:w="1360" w:type="dxa"/>
            <w:vAlign w:val="bottom"/>
            <w:gridSpan w:val="2"/>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1,362</w:t>
            </w:r>
          </w:p>
        </w:tc>
        <w:tc>
          <w:tcPr>
            <w:tcW w:w="4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720</w:t>
            </w:r>
          </w:p>
        </w:tc>
        <w:tc>
          <w:tcPr>
            <w:tcW w:w="1240" w:type="dxa"/>
            <w:vAlign w:val="bottom"/>
            <w:gridSpan w:val="2"/>
          </w:tcPr>
          <w:p>
            <w:pPr>
              <w:jc w:val="center"/>
              <w:ind w:left="351"/>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0"/>
        </w:trPr>
        <w:tc>
          <w:tcPr>
            <w:tcW w:w="31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Kevin J. Zegers</w:t>
            </w:r>
            <w:r>
              <w:rPr>
                <w:rFonts w:ascii="Times New Roman" w:cs="Times New Roman" w:eastAsia="Times New Roman" w:hAnsi="Times New Roman"/>
                <w:sz w:val="19"/>
                <w:szCs w:val="19"/>
                <w:color w:val="auto"/>
                <w:vertAlign w:val="superscript"/>
              </w:rPr>
              <w:t>(117)</w:t>
            </w:r>
          </w:p>
        </w:tc>
        <w:tc>
          <w:tcPr>
            <w:tcW w:w="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4"/>
                <w:szCs w:val="14"/>
                <w:color w:val="auto"/>
                <w:w w:val="98"/>
              </w:rPr>
              <w:t>20,448</w:t>
            </w:r>
          </w:p>
        </w:tc>
        <w:tc>
          <w:tcPr>
            <w:tcW w:w="13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20,448</w:t>
            </w:r>
          </w:p>
        </w:tc>
        <w:tc>
          <w:tcPr>
            <w:tcW w:w="4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9"/>
              </w:rPr>
              <w:t>—  </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740" w:hanging="421"/>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3" w:lineRule="exact"/>
        <w:rPr>
          <w:sz w:val="20"/>
          <w:szCs w:val="20"/>
          <w:color w:val="auto"/>
        </w:rPr>
      </w:pPr>
    </w:p>
    <w:p>
      <w:pPr>
        <w:ind w:left="1740" w:hanging="421"/>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each selling stockholder sells the maximum number of shares of our common stock possible in this offering.</w:t>
      </w:r>
    </w:p>
    <w:p>
      <w:pPr>
        <w:spacing w:after="0" w:line="8"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of the shares of our common stock that the selling stockholders may offer and sell from time to time under this prospectus without giving effect to the beneficial ownership limitations in the Pre-Funded Warrants and Warrants.</w:t>
      </w:r>
    </w:p>
    <w:p>
      <w:pPr>
        <w:spacing w:after="0" w:line="1"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(i) 227,137 shares of common stock and (ii) shares of common stock issuable upon the exercise of Pre-Funded Warrants and Warrants held by Bleichroeder LP through its affiliates, including 21 April Fund, L.P. and 21 April Fund, Ltd. Due to a beneficial ownership blocker in the Pre-Funded Warrants and Warrants, the number of shares beneficially owned prior to the offering excludes 394,092 shares of common stock issuable upon the exercise of Pre-Funded Warrants and 202,538 shares of common stock issuable upon the exercise of Warrants held by Bleichroeder LP. The number of shares being offered consists of 272,726 and 136,363 shares of common stock issuable upon the exercise of Pre-Funded Warrants and Warrants, respectively, held by Bleichroeder LP. Bleichroeder LP is the investment manager to its affiliates, including 21 April Fund, L.P. and 21 April Fund, Ltd. and may be deemed to beneficially own these shares. Michael M. Kellen and Andrew Gundlach are the portfolio managers of 21 April Fund, L.P. and</w:t>
      </w:r>
    </w:p>
    <w:p>
      <w:pPr>
        <w:spacing w:after="0" w:line="4" w:lineRule="exact"/>
        <w:rPr>
          <w:rFonts w:ascii="Times New Roman" w:cs="Times New Roman" w:eastAsia="Times New Roman" w:hAnsi="Times New Roman"/>
          <w:sz w:val="14"/>
          <w:szCs w:val="14"/>
          <w:color w:val="auto"/>
        </w:rPr>
      </w:pPr>
    </w:p>
    <w:p>
      <w:pPr>
        <w:ind w:left="1740" w:right="9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April Fund, Ltd. and exercise investment discretion with respect to these shares. The address for Bleichroeder Holdings LLC and Bleichroeder LP is 1345 Avenue of the Americas, 47th Floor, New York, NY 10105.</w:t>
      </w:r>
    </w:p>
    <w:p>
      <w:pPr>
        <w:spacing w:after="0" w:line="1"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22,724 shares of common stock issuable upon exercise of Pre-Funded Warrants issued in the Private Placement and (ii) 11,362 shares of common stock issuable upon exercise of Warrants issued in the Private Placement, in each case held by Christopher Achar. The address for the selling stockholder is 6443 Lindenhurst Ave, Los Angeles, CA 90048.</w:t>
      </w:r>
    </w:p>
    <w:p>
      <w:pPr>
        <w:spacing w:after="0" w:line="1" w:lineRule="exact"/>
        <w:rPr>
          <w:rFonts w:ascii="Times New Roman" w:cs="Times New Roman" w:eastAsia="Times New Roman" w:hAnsi="Times New Roman"/>
          <w:sz w:val="14"/>
          <w:szCs w:val="14"/>
          <w:color w:val="auto"/>
        </w:rPr>
      </w:pPr>
    </w:p>
    <w:p>
      <w:pPr>
        <w:ind w:left="1740" w:right="239" w:hanging="421"/>
        <w:spacing w:after="0" w:line="25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Carlo Alberici. The address for the selling stockholder is 560 Lexington Avenue, New York, NY 10022.</w:t>
      </w:r>
    </w:p>
    <w:p>
      <w:pPr>
        <w:spacing w:after="0" w:line="1" w:lineRule="exact"/>
        <w:rPr>
          <w:rFonts w:ascii="Times New Roman" w:cs="Times New Roman" w:eastAsia="Times New Roman" w:hAnsi="Times New Roman"/>
          <w:sz w:val="14"/>
          <w:szCs w:val="14"/>
          <w:color w:val="auto"/>
        </w:rPr>
      </w:pPr>
    </w:p>
    <w:p>
      <w:pPr>
        <w:ind w:left="1740" w:right="199" w:hanging="421"/>
        <w:spacing w:after="0" w:line="259"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James R. Aldridge. The address for the selling stockholder is 49 Church Lane, Scarsdale, NY 10583.</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499" w:hanging="421"/>
        <w:spacing w:after="0" w:line="259"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the Warrants issued in the Private Placement, in each case held by Howard Altshuler. The address for the selling stockholder is 4905 Joshua Drive, Flower Mound, TX 75028.</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272,726 shares of common stock issuable upon exercise of Pre-Funded Warrants issued in the Private Placement and (ii) 136,363 shares of common stock issuable upon exercise of Warrants issued in the Private Placement, in each case held by Peter Appel. Due to a beneficial ownership blocker in the Pre-Funded Warrants and Warrants, the number of shares beneficially owned prior to the offering excludes 524,382 shares of common stock issuable upon the exercise of Pre-Funded Warrants and 264,595 shares of common stock issuable upon the exercise of Warrants held by Peter Appel. The address for the selling stockholder is 3505 Main Lodge Dr, Coconut Grove, FL 33133.</w:t>
      </w:r>
    </w:p>
    <w:p>
      <w:pPr>
        <w:spacing w:after="0" w:line="2" w:lineRule="exact"/>
        <w:rPr>
          <w:rFonts w:ascii="Times New Roman" w:cs="Times New Roman" w:eastAsia="Times New Roman" w:hAnsi="Times New Roman"/>
          <w:sz w:val="14"/>
          <w:szCs w:val="14"/>
          <w:color w:val="auto"/>
        </w:rPr>
      </w:pPr>
    </w:p>
    <w:p>
      <w:pPr>
        <w:ind w:left="1740" w:right="33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Ballington Living Trust DTD 8-5-14. The address for the selling stockholder is 10428 Parker House Dr, Great Falls, VA 22066.</w:t>
      </w:r>
    </w:p>
    <w:p>
      <w:pPr>
        <w:spacing w:after="0" w:line="1" w:lineRule="exact"/>
        <w:rPr>
          <w:rFonts w:ascii="Times New Roman" w:cs="Times New Roman" w:eastAsia="Times New Roman" w:hAnsi="Times New Roman"/>
          <w:sz w:val="14"/>
          <w:szCs w:val="14"/>
          <w:color w:val="auto"/>
        </w:rPr>
      </w:pPr>
    </w:p>
    <w:p>
      <w:pPr>
        <w:ind w:left="1740" w:right="29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 shares of common stock issuable upon exercise of Pre-Funded Warrants issued in the Private Placement and (ii) 44,545 shares of common stock issuable upon exercise of Warrants issued in the Private Placement, in each case held by Steven Baum. The address for the selling stockholder is 129 Sands Point Rd, Port Washington, NY 11050.</w:t>
      </w:r>
    </w:p>
    <w:p>
      <w:pPr>
        <w:spacing w:after="0" w:line="1"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Mark J. Bigger. The address for the selling stockholder is 809 Crystal Downs Ct, Bakersfield, CA 93312.</w:t>
      </w:r>
    </w:p>
    <w:p>
      <w:pPr>
        <w:spacing w:after="0" w:line="1" w:lineRule="exact"/>
        <w:rPr>
          <w:rFonts w:ascii="Times New Roman" w:cs="Times New Roman" w:eastAsia="Times New Roman" w:hAnsi="Times New Roman"/>
          <w:sz w:val="14"/>
          <w:szCs w:val="14"/>
          <w:color w:val="auto"/>
        </w:rPr>
      </w:pPr>
    </w:p>
    <w:p>
      <w:pPr>
        <w:ind w:left="1740" w:right="29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 shares of common stock issuable upon exercise of Pre-Funded Warrants issued in the Private Placement and (ii) 4,545 shares of common stock issuable upon exercise of Warrants issued in the Private Placement, in each case held by Blue Earth Fund Limited Partnership. Brett Conrad has voting and investment control of the securities held by Blue Earth Fund Limited Partnership. The address of Blue Earth Fund Limited Partnership is 5339 Hidden Pinyon Drive, St. George, UT 84770.</w:t>
      </w:r>
    </w:p>
    <w:p>
      <w:pPr>
        <w:spacing w:after="0" w:line="2" w:lineRule="exact"/>
        <w:rPr>
          <w:rFonts w:ascii="Times New Roman" w:cs="Times New Roman" w:eastAsia="Times New Roman" w:hAnsi="Times New Roman"/>
          <w:sz w:val="14"/>
          <w:szCs w:val="14"/>
          <w:color w:val="auto"/>
        </w:rPr>
      </w:pPr>
    </w:p>
    <w:p>
      <w:pPr>
        <w:ind w:left="1740" w:right="37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Boardwalk Properties LLC. Emilio DiMatteo has voting and investment control of the securities held by Boardwalk Properties LLC. The address of Boardwalk Properties LLC is 7 Sterling Road S, Armonk, NY 10504.</w:t>
      </w:r>
    </w:p>
    <w:p>
      <w:pPr>
        <w:spacing w:after="0" w:line="2" w:lineRule="exact"/>
        <w:rPr>
          <w:rFonts w:ascii="Times New Roman" w:cs="Times New Roman" w:eastAsia="Times New Roman" w:hAnsi="Times New Roman"/>
          <w:sz w:val="14"/>
          <w:szCs w:val="14"/>
          <w:color w:val="auto"/>
        </w:rPr>
      </w:pPr>
    </w:p>
    <w:p>
      <w:pPr>
        <w:ind w:left="1740" w:right="23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908 shares of common stock issuable upon exercise of Pre-Funded Warrants issued in the Private Placement and (ii) 454 shares of common stock issuable upon exercise of Warrants issued in the Private Placement, in each case held by Kevin M. Borkowski. The address for the selling stockholder is 17143 Harcombe Drive, Charlotte, NC 28277.</w:t>
      </w:r>
    </w:p>
    <w:p>
      <w:pPr>
        <w:spacing w:after="0" w:line="1" w:lineRule="exact"/>
        <w:rPr>
          <w:rFonts w:ascii="Times New Roman" w:cs="Times New Roman" w:eastAsia="Times New Roman" w:hAnsi="Times New Roman"/>
          <w:sz w:val="14"/>
          <w:szCs w:val="14"/>
          <w:color w:val="auto"/>
        </w:rPr>
      </w:pPr>
    </w:p>
    <w:p>
      <w:pPr>
        <w:ind w:left="1740" w:right="37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Mark W. Boyer. The address for the selling stockholder is 224 Beachside Cove, Locust Grove, VA 22508.</w:t>
      </w:r>
    </w:p>
    <w:p>
      <w:pPr>
        <w:spacing w:after="0" w:line="1" w:lineRule="exact"/>
        <w:rPr>
          <w:rFonts w:ascii="Times New Roman" w:cs="Times New Roman" w:eastAsia="Times New Roman" w:hAnsi="Times New Roman"/>
          <w:sz w:val="14"/>
          <w:szCs w:val="14"/>
          <w:color w:val="auto"/>
        </w:rPr>
      </w:pPr>
    </w:p>
    <w:p>
      <w:pPr>
        <w:ind w:left="1740" w:right="23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Rocco Brescia. The address for the selling stockholder is 38 Faenza, Newport Coast, CA 92657.</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Joseph Michael Buonaiuto. The address for the selling stockholder is 9784 Kingston Cir, Powell, OH 43065.</w:t>
      </w:r>
    </w:p>
    <w:p>
      <w:pPr>
        <w:spacing w:after="0" w:line="1" w:lineRule="exact"/>
        <w:rPr>
          <w:rFonts w:ascii="Times New Roman" w:cs="Times New Roman" w:eastAsia="Times New Roman" w:hAnsi="Times New Roman"/>
          <w:sz w:val="14"/>
          <w:szCs w:val="14"/>
          <w:color w:val="auto"/>
        </w:rPr>
      </w:pPr>
    </w:p>
    <w:p>
      <w:pPr>
        <w:ind w:left="1740" w:right="299" w:hanging="421"/>
        <w:spacing w:after="0" w:line="259"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5,454 shares of common stock issuable upon exercise of Pre-Funded Warrants issued in the Private Placement and (ii) 2,727 shares of common stock issuable upon exercise of Warrants issued in the Private Placement, in each case held by Candlestick Lane Investments LP. Daniel Verret has voting and</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519"/>
        <w:spacing w:after="0" w:line="263" w:lineRule="auto"/>
        <w:rPr>
          <w:sz w:val="20"/>
          <w:szCs w:val="20"/>
          <w:color w:val="auto"/>
        </w:rPr>
      </w:pPr>
      <w:r>
        <w:rPr>
          <w:rFonts w:ascii="Times New Roman" w:cs="Times New Roman" w:eastAsia="Times New Roman" w:hAnsi="Times New Roman"/>
          <w:sz w:val="14"/>
          <w:szCs w:val="14"/>
          <w:color w:val="auto"/>
        </w:rPr>
        <w:t>investment control of the securities held by Candlestick Lane Investments LP. The address for the selling stockholder is 6545 Preston Road, Suite 200, Plano, TX 75024.</w:t>
      </w:r>
    </w:p>
    <w:p>
      <w:pPr>
        <w:spacing w:after="0" w:line="1" w:lineRule="exact"/>
        <w:rPr>
          <w:sz w:val="20"/>
          <w:szCs w:val="20"/>
          <w:color w:val="auto"/>
        </w:rPr>
      </w:pPr>
    </w:p>
    <w:p>
      <w:pPr>
        <w:ind w:left="1740" w:right="31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Timothy L. Carpenter &amp; Julie L. Carpenter JTWROS. Timothy L. Carpenter has voting and investment control of the securities held by Timothy L. Carpenter &amp; Julie L. Carpenter JTWROS. The address for the selling stockholder is 1233 Ocean Blvd W, Holden Beach, NC 28462.</w:t>
      </w:r>
    </w:p>
    <w:p>
      <w:pPr>
        <w:spacing w:after="0" w:line="2" w:lineRule="exact"/>
        <w:rPr>
          <w:rFonts w:ascii="Times New Roman" w:cs="Times New Roman" w:eastAsia="Times New Roman" w:hAnsi="Times New Roman"/>
          <w:sz w:val="14"/>
          <w:szCs w:val="14"/>
          <w:color w:val="auto"/>
        </w:rPr>
      </w:pPr>
    </w:p>
    <w:p>
      <w:pPr>
        <w:ind w:left="1740" w:right="45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 shares of common stock issuable upon exercise of Pre-Funded Warrants issued in the Private Placement and (ii) 4,545 shares of common stock issuable upon exercise of the Warrants issued in the Private Placement, in each case held by Dennis L. Chesley. The address for the selling stockholder is 1510 Longfellow Street, McLean, VA 22101.</w:t>
      </w:r>
    </w:p>
    <w:p>
      <w:pPr>
        <w:spacing w:after="0" w:line="1" w:lineRule="exact"/>
        <w:rPr>
          <w:rFonts w:ascii="Times New Roman" w:cs="Times New Roman" w:eastAsia="Times New Roman" w:hAnsi="Times New Roman"/>
          <w:sz w:val="14"/>
          <w:szCs w:val="14"/>
          <w:color w:val="auto"/>
        </w:rPr>
      </w:pPr>
    </w:p>
    <w:p>
      <w:pPr>
        <w:ind w:left="1740" w:right="35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6,818 shares of common stock issuable upon exercise of Pre-Funded Warrants issued in the Private Placement and (ii) 3,409 shares of common stock issuable upon exercise of the Warrants issued in the Private Placement, in each case held by Charles Christensen. The address for the selling stockholder is 230 Center Road, Frankfort, IL 60423.</w:t>
      </w:r>
    </w:p>
    <w:p>
      <w:pPr>
        <w:spacing w:after="0" w:line="1" w:lineRule="exact"/>
        <w:rPr>
          <w:rFonts w:ascii="Times New Roman" w:cs="Times New Roman" w:eastAsia="Times New Roman" w:hAnsi="Times New Roman"/>
          <w:sz w:val="14"/>
          <w:szCs w:val="14"/>
          <w:color w:val="auto"/>
        </w:rPr>
      </w:pPr>
    </w:p>
    <w:p>
      <w:pPr>
        <w:ind w:left="1740" w:right="49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 shares of common stock issuable upon exercise of Pre-Funded Warrants issued in the Private Placement and (ii) 4,545 shares of common stock issuable upon exercise of the Warrants issued in the Private Placement, in each case held by Ronald J. Ciasulli. The address for the selling stockholder is 243 Rte 22 East, Springfield, NJ 07081.</w:t>
      </w:r>
    </w:p>
    <w:p>
      <w:pPr>
        <w:spacing w:after="0" w:line="1" w:lineRule="exact"/>
        <w:rPr>
          <w:rFonts w:ascii="Times New Roman" w:cs="Times New Roman" w:eastAsia="Times New Roman" w:hAnsi="Times New Roman"/>
          <w:sz w:val="14"/>
          <w:szCs w:val="14"/>
          <w:color w:val="auto"/>
        </w:rPr>
      </w:pPr>
    </w:p>
    <w:p>
      <w:pPr>
        <w:ind w:left="1740" w:right="29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 shares of common stock issuable upon exercise of Pre-Funded Warrants issued in the Private Placement and (ii) 4,545 shares of common stock issuable upon exercise of Warrants issued in the Private Placement, in each case held by Karen Bedrosian Separate Property Trust DTD 10-5-2001. Karen B. Coyne has voting and investment control of the securities held by Karen Bedrosian Separate Property Trust DTD 10-5-2001. The address for the selling stockholder 2934 N. Beverly Glen, Unit 347, Los Angeles, CA 90077.</w:t>
      </w:r>
    </w:p>
    <w:p>
      <w:pPr>
        <w:spacing w:after="0" w:line="2" w:lineRule="exact"/>
        <w:rPr>
          <w:rFonts w:ascii="Times New Roman" w:cs="Times New Roman" w:eastAsia="Times New Roman" w:hAnsi="Times New Roman"/>
          <w:sz w:val="14"/>
          <w:szCs w:val="14"/>
          <w:color w:val="auto"/>
        </w:rPr>
      </w:pPr>
    </w:p>
    <w:p>
      <w:pPr>
        <w:ind w:left="1740" w:right="37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9,088 shares of common stock issuable upon exercise of Pre-Funded Warrants issued in the Private Placement and (ii) 4,544 shares of common stock issuable upon exercise of Warrants issued in the Private Placement, in each case held by Peter Davidson. The address for the selling stockholder 888 7th Avenue, 4th Floor, New York, NY 10106.</w:t>
      </w:r>
    </w:p>
    <w:p>
      <w:pPr>
        <w:spacing w:after="0" w:line="1"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Mario Dellaera. The address for the selling stockholder 217 Park Drive, Eastchester, NY 10709.</w:t>
      </w:r>
    </w:p>
    <w:p>
      <w:pPr>
        <w:spacing w:after="0" w:line="1" w:lineRule="exact"/>
        <w:rPr>
          <w:rFonts w:ascii="Times New Roman" w:cs="Times New Roman" w:eastAsia="Times New Roman" w:hAnsi="Times New Roman"/>
          <w:sz w:val="14"/>
          <w:szCs w:val="14"/>
          <w:color w:val="auto"/>
        </w:rPr>
      </w:pPr>
    </w:p>
    <w:p>
      <w:pPr>
        <w:ind w:left="1740" w:right="29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Mark R. Demich. The address for the selling stockholder is 12 Cross Hwy, Unit B, Westport, CT 06880.</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1,814 shares of common stock issuable upon exercise of Pre-Funded Warrants issued in the Private Placement and (ii) 907 shares of common stock issuable upon exercise of Warrants issued in the Private Placement, in each case held by The DeSouza Family Trust DTD 5-24-2011. Stephen DeSouza has voting and investment control of the securities held by The DeSouza Family Trust DTD 5-24-2011. The address for the selling stockholder is 12543 N. 118th Way, Scottsdale, AZ 85259.</w:t>
      </w:r>
    </w:p>
    <w:p>
      <w:pPr>
        <w:spacing w:after="0" w:line="2" w:lineRule="exact"/>
        <w:rPr>
          <w:rFonts w:ascii="Times New Roman" w:cs="Times New Roman" w:eastAsia="Times New Roman" w:hAnsi="Times New Roman"/>
          <w:sz w:val="14"/>
          <w:szCs w:val="14"/>
          <w:color w:val="auto"/>
        </w:rPr>
      </w:pPr>
    </w:p>
    <w:p>
      <w:pPr>
        <w:jc w:val="both"/>
        <w:ind w:left="1740" w:right="259" w:hanging="421"/>
        <w:spacing w:after="0" w:line="252"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Joseph M. DiAngelo. The address for the selling stockholder is 9039 Portofino Place, Dublin, OH 43016.</w:t>
      </w:r>
    </w:p>
    <w:p>
      <w:pPr>
        <w:spacing w:after="0" w:line="1" w:lineRule="exact"/>
        <w:rPr>
          <w:rFonts w:ascii="Times New Roman" w:cs="Times New Roman" w:eastAsia="Times New Roman" w:hAnsi="Times New Roman"/>
          <w:sz w:val="14"/>
          <w:szCs w:val="14"/>
          <w:color w:val="auto"/>
        </w:rPr>
      </w:pPr>
    </w:p>
    <w:p>
      <w:pPr>
        <w:ind w:left="1740" w:right="299" w:hanging="421"/>
        <w:spacing w:after="0" w:line="259"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Daniel DiFilippo. The address for the selling stockholder is 1257 Mariola Ct, Miami, FL 33134.</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219" w:hanging="421"/>
        <w:spacing w:after="0" w:line="259"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Christopher E. DiPetrillo. The address for the selling stockholder is 115 York Rd, Mansfield, MA 02048.</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1,818 shares of common stock issuable upon exercise of Pre-Funded Warrants issued in the Private Placement and (ii) 909 shares of common stock issuable upon exercise of Warrants issued in the Private Placement, in each case held by Francis Dominique &amp; Majella Dominique JTWROS. Francis Dominique has voting and investment control of the securities held by Francis Dominique &amp; Majella Dominique JTWROS. The address for the selling stockholder is 161 Leota Avenue, Sunnyvale, CA 94086.</w:t>
      </w:r>
    </w:p>
    <w:p>
      <w:pPr>
        <w:spacing w:after="0" w:line="2" w:lineRule="exact"/>
        <w:rPr>
          <w:rFonts w:ascii="Times New Roman" w:cs="Times New Roman" w:eastAsia="Times New Roman" w:hAnsi="Times New Roman"/>
          <w:sz w:val="14"/>
          <w:szCs w:val="14"/>
          <w:color w:val="auto"/>
        </w:rPr>
      </w:pPr>
    </w:p>
    <w:p>
      <w:pPr>
        <w:ind w:left="1740" w:right="35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3,180 shares of common stock issuable upon exercise of Pre-Funded Warrants issued in the Private Placement and (ii) 1,590 shares of common stock issuable upon exercise of Warrants issued in the Private Placement, in each case held by Paul G. Elie. The address for the selling stockholder is 240 Woodwind Dr, Bloomfield Hills, MI 48304.</w:t>
      </w:r>
    </w:p>
    <w:p>
      <w:pPr>
        <w:spacing w:after="0" w:line="1"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Salvatore Esposito. The address for the selling stockholder is 105 Annfield Court, Staten Island, NY 10304.</w:t>
      </w:r>
    </w:p>
    <w:p>
      <w:pPr>
        <w:spacing w:after="0" w:line="1" w:lineRule="exact"/>
        <w:rPr>
          <w:rFonts w:ascii="Times New Roman" w:cs="Times New Roman" w:eastAsia="Times New Roman" w:hAnsi="Times New Roman"/>
          <w:sz w:val="14"/>
          <w:szCs w:val="14"/>
          <w:color w:val="auto"/>
        </w:rPr>
      </w:pPr>
    </w:p>
    <w:p>
      <w:pPr>
        <w:ind w:left="1740" w:right="35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90,906 shares of common stock issuable upon exercise of Pre-Funded Warrants issued in the Private Placement and (ii) 45,453 shares of common stock issuable upon exercise of Warrants issued in the Private Placement, in each case held by Ali Farahpour. Due to a beneficial ownership blocker in the Pre-Funded Warrants and Warrants, the number of shares beneficially owned prior to the offering excludes 56,511 shares of common stock issuable upon the exercise of Pre-Funded Warrants and 46,551 shares of common stock issuable upon the exercise of Warrants held by Ali Farahpour. The address for the selling stockholder is 10809 Stanmore Dr, Potomac, MD 20854.</w:t>
      </w:r>
    </w:p>
    <w:p>
      <w:pPr>
        <w:spacing w:after="0" w:line="2" w:lineRule="exact"/>
        <w:rPr>
          <w:rFonts w:ascii="Times New Roman" w:cs="Times New Roman" w:eastAsia="Times New Roman" w:hAnsi="Times New Roman"/>
          <w:sz w:val="14"/>
          <w:szCs w:val="14"/>
          <w:color w:val="auto"/>
        </w:rPr>
      </w:pPr>
    </w:p>
    <w:p>
      <w:pPr>
        <w:ind w:left="1740" w:right="41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Kristin Leigh Smallwood &amp; Timothy Robert Fisk JTWROS. Timothy Robert Fisk has voting and investment control of the securities held by Kristin Leigh Smallwood &amp; Timothy Robert Fisk JTWROS. The address of for the selling stockholder is 460 Linden Road, Birmingham, MI 48009.</w:t>
      </w:r>
    </w:p>
    <w:p>
      <w:pPr>
        <w:spacing w:after="0" w:line="2" w:lineRule="exact"/>
        <w:rPr>
          <w:rFonts w:ascii="Times New Roman" w:cs="Times New Roman" w:eastAsia="Times New Roman" w:hAnsi="Times New Roman"/>
          <w:sz w:val="14"/>
          <w:szCs w:val="14"/>
          <w:color w:val="auto"/>
        </w:rPr>
      </w:pPr>
    </w:p>
    <w:p>
      <w:pPr>
        <w:ind w:left="1740" w:right="55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Keith Fleischmann. The address of Keith Fleischmann is 6240 W. 3rd Street, Unit 421, Los Angeles, CA 90036.</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1,818 shares of common stock issuable upon exercise of Pre-Funded Warrants issued in the Private Placement and (ii) 909 shares of common stock issuable upon exercise of Warrants issued in the Private Placement, in each case held by Scott Guasta. The address for the selling stockholder is 55 Ocean Oaks Lane, Palm Coast, FL 32137.</w:t>
      </w:r>
    </w:p>
    <w:p>
      <w:pPr>
        <w:spacing w:after="0" w:line="1"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3,636 shares of common stock issuable upon exercise of Pre-Funded Warrants issued in the Private Placement and (ii) 1,818 shares of common stock issuable upon exercise of Warrants issued in the Private Placement, in each case held by Joseph S. Glodek. The address for the selling stockholder is 6 Colts Run, Chester, NJ 07930.</w:t>
      </w:r>
    </w:p>
    <w:p>
      <w:pPr>
        <w:spacing w:after="0" w:line="1" w:lineRule="exact"/>
        <w:rPr>
          <w:rFonts w:ascii="Times New Roman" w:cs="Times New Roman" w:eastAsia="Times New Roman" w:hAnsi="Times New Roman"/>
          <w:sz w:val="14"/>
          <w:szCs w:val="14"/>
          <w:color w:val="auto"/>
        </w:rPr>
      </w:pPr>
    </w:p>
    <w:p>
      <w:pPr>
        <w:ind w:left="1740" w:right="37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Joseph William Glodek. The address for the selling stockholder is 80 Renaissance Blvd, Somerset, NJ 08873.</w:t>
      </w:r>
    </w:p>
    <w:p>
      <w:pPr>
        <w:spacing w:after="0" w:line="1" w:lineRule="exact"/>
        <w:rPr>
          <w:rFonts w:ascii="Times New Roman" w:cs="Times New Roman" w:eastAsia="Times New Roman" w:hAnsi="Times New Roman"/>
          <w:sz w:val="14"/>
          <w:szCs w:val="14"/>
          <w:color w:val="auto"/>
        </w:rPr>
      </w:pPr>
    </w:p>
    <w:p>
      <w:pPr>
        <w:ind w:left="1740" w:right="379" w:hanging="421"/>
        <w:spacing w:after="0" w:line="252"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 shares of common stock issuable upon exercise of Pre-Funded Warrants issued in the Private Placement and (ii) 2,500 shares of common stock issuable upon exercise of Warrants issued in the Private Placement, in each case held by Keith Guenther. The address for the selling stockholder is 27562 San Blas, Mission Viejo, CA 92692.</w:t>
      </w:r>
    </w:p>
    <w:p>
      <w:pPr>
        <w:spacing w:after="0" w:line="1" w:lineRule="exact"/>
        <w:rPr>
          <w:rFonts w:ascii="Times New Roman" w:cs="Times New Roman" w:eastAsia="Times New Roman" w:hAnsi="Times New Roman"/>
          <w:sz w:val="14"/>
          <w:szCs w:val="14"/>
          <w:color w:val="auto"/>
        </w:rPr>
      </w:pPr>
    </w:p>
    <w:p>
      <w:pPr>
        <w:ind w:left="1740" w:right="559" w:hanging="421"/>
        <w:spacing w:after="0" w:line="265" w:lineRule="auto"/>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3,454 shares of common stock issuable upon exercise of Pre-Funded Warrants issued in the Private Placement and (ii) 1,727 shares of common stock issuable upon exercise of Warrants issued in the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Private Placement, in each case held by Paul Harman. The address for the selling stockholder is 10717 Rising Sun Dr, Bakersfield, CA 93312.</w:t>
      </w:r>
    </w:p>
    <w:p>
      <w:pPr>
        <w:spacing w:after="0" w:line="23" w:lineRule="exact"/>
        <w:rPr>
          <w:sz w:val="20"/>
          <w:szCs w:val="20"/>
          <w:color w:val="auto"/>
        </w:rPr>
      </w:pPr>
    </w:p>
    <w:p>
      <w:pPr>
        <w:ind w:left="1740" w:right="41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Brian L. Heckler Revocable Trust DTD 3-4-2005. Brian L. Heckler has voting and investment control of the securities held by Brian L. Heckler Revocable Trust DTD 3-4-2005. The address for the selling stockholder is 1223 Beacon Street, New Smyrna, FL 32169.</w:t>
      </w:r>
    </w:p>
    <w:p>
      <w:pPr>
        <w:spacing w:after="0" w:line="2"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1,818 shares of common stock issuable upon exercise of Pre-Funded Warrants issued in the Private Placement and (ii) 909 shares of common stock issuable upon exercise of Warrants issued in the Private Placement, in each case held by Scott Frederic Hesse &amp; Patricia Lynn Hesse JTWROS. Scott Frederic Hesse has voting and investment control of the securities held by Scott Frederic Hesse &amp; Patricia Lynn Hesse JTWROS. The address for the selling stockholder is 44981 Oak Forest Dr, Northville, MI 48168.</w:t>
      </w:r>
    </w:p>
    <w:p>
      <w:pPr>
        <w:spacing w:after="0" w:line="2"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Dennis D. Howarter &amp; Pamela J. Howarter JTWROS. Dennis D. Howarter has voting and investment control of the securities held by Dennis D. Howarter &amp; Pamela J. Howarter JTWROS. The address for the selling stockholder is 705 West Jackson Avenue, Naperville, IL 60540.</w:t>
      </w:r>
    </w:p>
    <w:p>
      <w:pPr>
        <w:spacing w:after="0" w:line="2" w:lineRule="exact"/>
        <w:rPr>
          <w:rFonts w:ascii="Times New Roman" w:cs="Times New Roman" w:eastAsia="Times New Roman" w:hAnsi="Times New Roman"/>
          <w:sz w:val="14"/>
          <w:szCs w:val="14"/>
          <w:color w:val="auto"/>
        </w:rPr>
      </w:pPr>
    </w:p>
    <w:p>
      <w:pPr>
        <w:ind w:left="1740" w:right="41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James M. Huber Trust DTD</w:t>
      </w:r>
    </w:p>
    <w:p>
      <w:pPr>
        <w:spacing w:after="0" w:line="1" w:lineRule="exact"/>
        <w:rPr>
          <w:rFonts w:ascii="Times New Roman" w:cs="Times New Roman" w:eastAsia="Times New Roman" w:hAnsi="Times New Roman"/>
          <w:sz w:val="14"/>
          <w:szCs w:val="14"/>
          <w:color w:val="auto"/>
        </w:rPr>
      </w:pPr>
    </w:p>
    <w:p>
      <w:pPr>
        <w:ind w:left="1740" w:right="2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1-28-2020. James M. Huber has voting and investment control of the securities held by James M. Huber Trust DTD 1-28-2020. The address for the selling stockholder is 2367 Springside Oval, Brecksville, OH 44141.</w:t>
      </w:r>
    </w:p>
    <w:p>
      <w:pPr>
        <w:spacing w:after="0" w:line="1" w:lineRule="exact"/>
        <w:rPr>
          <w:rFonts w:ascii="Times New Roman" w:cs="Times New Roman" w:eastAsia="Times New Roman" w:hAnsi="Times New Roman"/>
          <w:sz w:val="14"/>
          <w:szCs w:val="14"/>
          <w:color w:val="auto"/>
        </w:rPr>
      </w:pPr>
    </w:p>
    <w:p>
      <w:pPr>
        <w:jc w:val="both"/>
        <w:ind w:left="1740" w:right="27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Donald L. Hulet. The address for the selling stockholder is P.O. Box 552, Draper, UT 84020.</w:t>
      </w:r>
    </w:p>
    <w:p>
      <w:pPr>
        <w:spacing w:after="0" w:line="1"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2,908 shares of common stock issuable upon exercise of Pre-Funded Warrants issued in the Private Placement and (ii) 1,454 shares of common stock issuable upon exercise of Warrants issued in the Private Placement, in each case held by Ironwood Assets LLC. Eric K. Thompson has voting and investment control of the securities held by Ironwood Assets LLC. The address for the selling stockholder is 7188 Ox Bow Cir, Tallahassee, FL 32312.</w:t>
      </w:r>
    </w:p>
    <w:p>
      <w:pPr>
        <w:spacing w:after="0" w:line="2"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3,180 shares of common stock issuable upon exercise of Pre-Funded Warrants issued in the Private Placement and (ii) 1,590 shares of common stock issuable upon exercise of Warrants issued in the Private Placement, in each case held by Keith Jackson. The address for the selling stockholder is 213 Pumpkin Place, Richmond, VA 23236.</w:t>
      </w:r>
    </w:p>
    <w:p>
      <w:pPr>
        <w:spacing w:after="0" w:line="1" w:lineRule="exact"/>
        <w:rPr>
          <w:rFonts w:ascii="Times New Roman" w:cs="Times New Roman" w:eastAsia="Times New Roman" w:hAnsi="Times New Roman"/>
          <w:sz w:val="14"/>
          <w:szCs w:val="14"/>
          <w:color w:val="auto"/>
        </w:rPr>
      </w:pPr>
    </w:p>
    <w:p>
      <w:pPr>
        <w:ind w:left="1740" w:right="35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4,542 shares of common stock issuable upon exercise of Pre-Funded Warrants issued in the Private Placement and (ii) 2,271 shares of common stock issuable upon exercise of Warrants issued in the Private Placement, in each case held by Daniel Jassy. The address for the selling stockholder is 4184 Randolph Street, San Diego, CA 92103.</w:t>
      </w:r>
    </w:p>
    <w:p>
      <w:pPr>
        <w:spacing w:after="0" w:line="1"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2,724 shares of common stock issuable upon exercise of Pre-Funded Warrants issued in the Private Placement and (ii) 1,362 shares of common stock issuable upon exercise of Warrants issued in the Private Placement, in each case held by Matthew Jones. The address for the selling stockholder is 3907 Park Ln, Dallas, TX 75220.</w:t>
      </w:r>
    </w:p>
    <w:p>
      <w:pPr>
        <w:spacing w:after="0" w:line="1" w:lineRule="exact"/>
        <w:rPr>
          <w:rFonts w:ascii="Times New Roman" w:cs="Times New Roman" w:eastAsia="Times New Roman" w:hAnsi="Times New Roman"/>
          <w:sz w:val="14"/>
          <w:szCs w:val="14"/>
          <w:color w:val="auto"/>
        </w:rPr>
      </w:pPr>
    </w:p>
    <w:p>
      <w:pPr>
        <w:ind w:left="1740" w:right="459" w:hanging="421"/>
        <w:spacing w:after="0" w:line="25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Robert Kastenschmidt. The address for the selling stockholder is 28323 Meadow Falls, Magnolia, TX 77355.</w:t>
      </w:r>
    </w:p>
    <w:p>
      <w:pPr>
        <w:spacing w:after="0" w:line="1" w:lineRule="exact"/>
        <w:rPr>
          <w:rFonts w:ascii="Times New Roman" w:cs="Times New Roman" w:eastAsia="Times New Roman" w:hAnsi="Times New Roman"/>
          <w:sz w:val="14"/>
          <w:szCs w:val="14"/>
          <w:color w:val="auto"/>
        </w:rPr>
      </w:pPr>
    </w:p>
    <w:p>
      <w:pPr>
        <w:ind w:left="1740" w:right="559" w:hanging="421"/>
        <w:spacing w:after="0" w:line="265"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 shares of common stock issuable upon exercise of Pre-Funded Warrants issued in the Private Placement and (ii) 4,545 shares of common stock issuable upon exercise of Warrants issued in the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479"/>
        <w:spacing w:after="0" w:line="263" w:lineRule="auto"/>
        <w:rPr>
          <w:sz w:val="20"/>
          <w:szCs w:val="20"/>
          <w:color w:val="auto"/>
        </w:rPr>
      </w:pPr>
      <w:r>
        <w:rPr>
          <w:rFonts w:ascii="Times New Roman" w:cs="Times New Roman" w:eastAsia="Times New Roman" w:hAnsi="Times New Roman"/>
          <w:sz w:val="14"/>
          <w:szCs w:val="14"/>
          <w:color w:val="auto"/>
        </w:rPr>
        <w:t>Private Placement, in each case held by David A. Katz. The address for the selling stockholder is 2020 N Bayshore Dr, Apt 4302, Miami FL 33137.</w:t>
      </w:r>
    </w:p>
    <w:p>
      <w:pPr>
        <w:spacing w:after="0" w:line="1" w:lineRule="exact"/>
        <w:rPr>
          <w:sz w:val="20"/>
          <w:szCs w:val="20"/>
          <w:color w:val="auto"/>
        </w:rPr>
      </w:pPr>
    </w:p>
    <w:p>
      <w:pPr>
        <w:ind w:left="1740" w:right="37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Robert Richard Keehan. The address for the selling stockholder is 2739 Barbara Lane, Houston, TX 77005.</w:t>
      </w:r>
    </w:p>
    <w:p>
      <w:pPr>
        <w:spacing w:after="0" w:line="1" w:lineRule="exact"/>
        <w:rPr>
          <w:rFonts w:ascii="Times New Roman" w:cs="Times New Roman" w:eastAsia="Times New Roman" w:hAnsi="Times New Roman"/>
          <w:sz w:val="14"/>
          <w:szCs w:val="14"/>
          <w:color w:val="auto"/>
        </w:rPr>
      </w:pPr>
    </w:p>
    <w:p>
      <w:pPr>
        <w:ind w:left="1740" w:right="29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3,180 shares of common stock issuable upon exercise of Pre-Funded Warrants issued in the Private Placement and (ii) 1,590 shares of common stock issuable upon exercise of Warrants issued in the Private Placement, in each case held by David A. Killam. The address for the selling stockholder is 176 Liberty St, San Francisco, CA 94110.</w:t>
      </w:r>
    </w:p>
    <w:p>
      <w:pPr>
        <w:spacing w:after="0" w:line="1" w:lineRule="exact"/>
        <w:rPr>
          <w:rFonts w:ascii="Times New Roman" w:cs="Times New Roman" w:eastAsia="Times New Roman" w:hAnsi="Times New Roman"/>
          <w:sz w:val="14"/>
          <w:szCs w:val="14"/>
          <w:color w:val="auto"/>
        </w:rPr>
      </w:pPr>
    </w:p>
    <w:p>
      <w:pPr>
        <w:ind w:left="1740" w:right="35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James M. Koch. The address for the selling stockholder is 112 River Park Rd, Kingsland, TX 78639.</w:t>
      </w:r>
    </w:p>
    <w:p>
      <w:pPr>
        <w:spacing w:after="0" w:line="1"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7,272 shares of common stock issuable upon exercise of Pre-Funded Warrants issued in the Private Placement and (ii) 3,636 shares of common stock issuable upon exercise of Warrants issued in the Private Placement, in each case held by James P. Kolar. The address for the selling stockholder is 1877 Calusa Ct, Marco Island, FL 34145.</w:t>
      </w:r>
    </w:p>
    <w:p>
      <w:pPr>
        <w:spacing w:after="0" w:line="1" w:lineRule="exact"/>
        <w:rPr>
          <w:rFonts w:ascii="Times New Roman" w:cs="Times New Roman" w:eastAsia="Times New Roman" w:hAnsi="Times New Roman"/>
          <w:sz w:val="14"/>
          <w:szCs w:val="14"/>
          <w:color w:val="auto"/>
        </w:rPr>
      </w:pPr>
    </w:p>
    <w:p>
      <w:pPr>
        <w:ind w:left="1740" w:right="39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22,724 shares of common stock issuable upon exercise of Pre-Funded Warrants issued in the Private Placement and (ii) 11,362 shares of common stock issuable upon exercise of Warrants issued in the Private Placement, in each case held by of Investment Mgt Holdings LLC. Shay Kostiner has voting and investment control of the securities held by Investment Mgt Holdings LLC. The address for the selling stockholder is 4901 Turnbury Wood Dr, Tampa, FL 33647.</w:t>
      </w:r>
    </w:p>
    <w:p>
      <w:pPr>
        <w:spacing w:after="0" w:line="2"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6,818 shares of common stock issuable upon exercise of Pre-Funded Warrants issued in the Private Placement and (ii) 3,409 shares of common stock issuable upon exercise of Warrants issued in the Private Placement, in each case held by Kurtis Krentz. The address for the selling stockholder is 34177 N Ironwood Drive, Scottsdale, AZ 85266.</w:t>
      </w:r>
    </w:p>
    <w:p>
      <w:pPr>
        <w:spacing w:after="0" w:line="1"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Richard Kunihira. The address for the selling stockholder is 26433 Margarita Lane, Loma Linda, CA 92354.</w:t>
      </w:r>
    </w:p>
    <w:p>
      <w:pPr>
        <w:spacing w:after="0" w:line="1" w:lineRule="exact"/>
        <w:rPr>
          <w:rFonts w:ascii="Times New Roman" w:cs="Times New Roman" w:eastAsia="Times New Roman" w:hAnsi="Times New Roman"/>
          <w:sz w:val="14"/>
          <w:szCs w:val="14"/>
          <w:color w:val="auto"/>
        </w:rPr>
      </w:pPr>
    </w:p>
    <w:p>
      <w:pPr>
        <w:ind w:left="1740" w:right="29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Kirkland Edward Larson. The address for the selling stockholder is 215 Happy Hollow Rd, Goodlettsville, TN 37072.</w:t>
      </w:r>
    </w:p>
    <w:p>
      <w:pPr>
        <w:spacing w:after="0" w:line="1" w:lineRule="exact"/>
        <w:rPr>
          <w:rFonts w:ascii="Times New Roman" w:cs="Times New Roman" w:eastAsia="Times New Roman" w:hAnsi="Times New Roman"/>
          <w:sz w:val="14"/>
          <w:szCs w:val="14"/>
          <w:color w:val="auto"/>
        </w:rPr>
      </w:pPr>
    </w:p>
    <w:p>
      <w:pPr>
        <w:ind w:left="1740" w:right="35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James C. Leslie. The address for the selling stockholder is 32 Manor Road, Huntington, NY 11743.</w:t>
      </w:r>
    </w:p>
    <w:p>
      <w:pPr>
        <w:spacing w:after="0" w:line="1" w:lineRule="exact"/>
        <w:rPr>
          <w:rFonts w:ascii="Times New Roman" w:cs="Times New Roman" w:eastAsia="Times New Roman" w:hAnsi="Times New Roman"/>
          <w:sz w:val="14"/>
          <w:szCs w:val="14"/>
          <w:color w:val="auto"/>
        </w:rPr>
      </w:pPr>
    </w:p>
    <w:p>
      <w:pPr>
        <w:ind w:left="1740" w:right="33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8,636 shares of common stock issuable upon exercise of Pre-Funded Warrants issued in the Private Placement and (ii) 4,318 shares of common stock issuable upon exercise of Warrants issued in the Private Placement, in each case held by Richard Libretti. The address for the selling stockholder is 23 Ridgeline Dr, Long Valley, NJ 07853.</w:t>
      </w:r>
    </w:p>
    <w:p>
      <w:pPr>
        <w:spacing w:after="0" w:line="1" w:lineRule="exact"/>
        <w:rPr>
          <w:rFonts w:ascii="Times New Roman" w:cs="Times New Roman" w:eastAsia="Times New Roman" w:hAnsi="Times New Roman"/>
          <w:sz w:val="14"/>
          <w:szCs w:val="14"/>
          <w:color w:val="auto"/>
        </w:rPr>
      </w:pPr>
    </w:p>
    <w:p>
      <w:pPr>
        <w:ind w:left="1740" w:right="399" w:hanging="421"/>
        <w:spacing w:after="0" w:line="252"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Richard P. Libretti &amp; Lois Libretti JTWROS. Richard P. Libretti and Lois Libretti have voting and investment control of the securities held by Richard P. Libretti &amp; Lois Libretti JTWROS. The address for the selling stockholder is 20 Sterling Dr., Chatham, NJ 07928.</w:t>
      </w:r>
    </w:p>
    <w:p>
      <w:pPr>
        <w:spacing w:after="0" w:line="2" w:lineRule="exact"/>
        <w:rPr>
          <w:rFonts w:ascii="Times New Roman" w:cs="Times New Roman" w:eastAsia="Times New Roman" w:hAnsi="Times New Roman"/>
          <w:sz w:val="14"/>
          <w:szCs w:val="14"/>
          <w:color w:val="auto"/>
        </w:rPr>
      </w:pPr>
    </w:p>
    <w:p>
      <w:pPr>
        <w:jc w:val="both"/>
        <w:ind w:left="1740" w:right="419" w:hanging="421"/>
        <w:spacing w:after="0" w:line="259"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90,906 shares of common stock issuable upon exercise of Pre-Funded Warrants issued in the Private Placement and (ii) 45,453 shares of common stock issuable upon exercise of Warrants issued in the Private Placement, in each case held by the Shao-lee Lin Trust DTD 3-13-2023. Shao-lee Lin has voting</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419"/>
        <w:spacing w:after="0" w:line="263" w:lineRule="auto"/>
        <w:rPr>
          <w:sz w:val="20"/>
          <w:szCs w:val="20"/>
          <w:color w:val="auto"/>
        </w:rPr>
      </w:pPr>
      <w:r>
        <w:rPr>
          <w:rFonts w:ascii="Times New Roman" w:cs="Times New Roman" w:eastAsia="Times New Roman" w:hAnsi="Times New Roman"/>
          <w:sz w:val="14"/>
          <w:szCs w:val="14"/>
          <w:color w:val="auto"/>
        </w:rPr>
        <w:t>and investment control of the securities held by the Shao-lee Lin Trust DTD 3-13-2023. The address for the selling stockholder is 23565 Park South St, Calabasas, CA 91302.</w:t>
      </w:r>
    </w:p>
    <w:p>
      <w:pPr>
        <w:spacing w:after="0" w:line="1" w:lineRule="exact"/>
        <w:rPr>
          <w:sz w:val="20"/>
          <w:szCs w:val="20"/>
          <w:color w:val="auto"/>
        </w:rPr>
      </w:pPr>
    </w:p>
    <w:p>
      <w:pPr>
        <w:ind w:left="1740" w:right="29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issuable in the Private Placement and (ii) 681 shares of common stock issuable upon exercise of Warrants issued in the Private Placement, in each case held by Paul E. Linthorst. The address for the selling stockholder is 19 Huntwood Place, Mount Vernon, NY 10552.</w:t>
      </w:r>
    </w:p>
    <w:p>
      <w:pPr>
        <w:spacing w:after="0" w:line="1"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Kevin Mackenzie. The address for the selling stockholder is 3 Conifer Way, Beverly, MA 01915.</w:t>
      </w:r>
    </w:p>
    <w:p>
      <w:pPr>
        <w:spacing w:after="0" w:line="1"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Samir Mammadov. The address for the selling stockholder is 10 Pine Lodge Place, Spring, TX 77382.</w:t>
      </w:r>
    </w:p>
    <w:p>
      <w:pPr>
        <w:spacing w:after="0" w:line="1"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Tanvir Ali Master. The address for the selling stockholder is 1545 Old Millwood Road, Rockwall, TX 75087.</w:t>
      </w:r>
    </w:p>
    <w:p>
      <w:pPr>
        <w:spacing w:after="0" w:line="1" w:lineRule="exact"/>
        <w:rPr>
          <w:rFonts w:ascii="Times New Roman" w:cs="Times New Roman" w:eastAsia="Times New Roman" w:hAnsi="Times New Roman"/>
          <w:sz w:val="14"/>
          <w:szCs w:val="14"/>
          <w:color w:val="auto"/>
        </w:rPr>
      </w:pPr>
    </w:p>
    <w:p>
      <w:pPr>
        <w:ind w:left="1740" w:right="31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Larry M. Matsui. The address for the selling stockholder is 426 N Prospectors Rd, Diamond Bar, CA 91765.</w:t>
      </w:r>
    </w:p>
    <w:p>
      <w:pPr>
        <w:spacing w:after="0" w:line="1" w:lineRule="exact"/>
        <w:rPr>
          <w:rFonts w:ascii="Times New Roman" w:cs="Times New Roman" w:eastAsia="Times New Roman" w:hAnsi="Times New Roman"/>
          <w:sz w:val="14"/>
          <w:szCs w:val="14"/>
          <w:color w:val="auto"/>
        </w:rPr>
      </w:pPr>
    </w:p>
    <w:p>
      <w:pPr>
        <w:ind w:left="1740" w:right="31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Carol Matsui. The address for the selling stockholder is 1420 W Badillo St, San Dimas, CA 91773.</w:t>
      </w:r>
    </w:p>
    <w:p>
      <w:pPr>
        <w:spacing w:after="0" w:line="1" w:lineRule="exact"/>
        <w:rPr>
          <w:rFonts w:ascii="Times New Roman" w:cs="Times New Roman" w:eastAsia="Times New Roman" w:hAnsi="Times New Roman"/>
          <w:sz w:val="14"/>
          <w:szCs w:val="14"/>
          <w:color w:val="auto"/>
        </w:rPr>
      </w:pPr>
    </w:p>
    <w:p>
      <w:pPr>
        <w:ind w:left="1740" w:right="23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Maz Partners. Walter Schenker has voting and investment control of the securities held by Maz Partners. The address for the selling stockholder is 9028 Lakes Blvd, West Palm Beach, FL 33412.</w:t>
      </w:r>
    </w:p>
    <w:p>
      <w:pPr>
        <w:spacing w:after="0" w:line="2" w:lineRule="exact"/>
        <w:rPr>
          <w:rFonts w:ascii="Times New Roman" w:cs="Times New Roman" w:eastAsia="Times New Roman" w:hAnsi="Times New Roman"/>
          <w:sz w:val="14"/>
          <w:szCs w:val="14"/>
          <w:color w:val="auto"/>
        </w:rPr>
      </w:pPr>
    </w:p>
    <w:p>
      <w:pPr>
        <w:ind w:left="1740" w:right="31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145,454 shares of common stock issuable upon exercise of Pre-Funded Warrants issued in the Private Placement and (ii) 72,727 shares of common stock issuable upon exercise of Warrants issued in the Private Placement, in each case held by William McCluskey. Due to a beneficial ownership blocker in the Pre-Funded Warrants and Warrants, the number of shares beneficially owned prior to the offering excludes 67,689 shares of common stock issuable upon the exercise of Pre-Funded Warrants and 46,991 shares of common stock issuable upon the exercise of Warrants held by William McCluskey. The address for the selling stockholder is 935 Oceanfront, Long Beach, NY 11561.</w:t>
      </w:r>
    </w:p>
    <w:p>
      <w:pPr>
        <w:spacing w:after="0" w:line="2" w:lineRule="exact"/>
        <w:rPr>
          <w:rFonts w:ascii="Times New Roman" w:cs="Times New Roman" w:eastAsia="Times New Roman" w:hAnsi="Times New Roman"/>
          <w:sz w:val="14"/>
          <w:szCs w:val="14"/>
          <w:color w:val="auto"/>
        </w:rPr>
      </w:pPr>
    </w:p>
    <w:p>
      <w:pPr>
        <w:jc w:val="both"/>
        <w:ind w:left="1740" w:right="37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36,360 shares of common stock issuable upon exercise of Pre-Funded Warrants issued in the Private Placement and (ii) 18,180 shares of common stock issuable upon exercise of Warrants issued in the Private Placement, in each case held by Michael W. McGuiness. The address for the selling stockholder is 230 Saw Mill River Rd Unit 7, Millwood, NY 10546.</w:t>
      </w:r>
    </w:p>
    <w:p>
      <w:pPr>
        <w:spacing w:after="0" w:line="1" w:lineRule="exact"/>
        <w:rPr>
          <w:rFonts w:ascii="Times New Roman" w:cs="Times New Roman" w:eastAsia="Times New Roman" w:hAnsi="Times New Roman"/>
          <w:sz w:val="14"/>
          <w:szCs w:val="14"/>
          <w:color w:val="auto"/>
        </w:rPr>
      </w:pPr>
    </w:p>
    <w:p>
      <w:pPr>
        <w:jc w:val="both"/>
        <w:ind w:left="1740" w:right="55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4,542 shares of common stock issuable upon exercise of Pre-Funded Warrants issued in the Private Placement and (ii) 2,271 shares of common stock issuable upon exercise of Warrants issued in the Private Placement, in each case held by Steven L. McKnight. The address for the selling stockholder is 8513 Swananoah Rd, Dallas, TX 75209.</w:t>
      </w:r>
    </w:p>
    <w:p>
      <w:pPr>
        <w:spacing w:after="0" w:line="1"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Nicholas L. Miller. The address for the selling stockholder is 825 Las Palmas Dr, Santa Barbara, CA 93110.</w:t>
      </w:r>
    </w:p>
    <w:p>
      <w:pPr>
        <w:spacing w:after="0" w:line="1" w:lineRule="exact"/>
        <w:rPr>
          <w:rFonts w:ascii="Times New Roman" w:cs="Times New Roman" w:eastAsia="Times New Roman" w:hAnsi="Times New Roman"/>
          <w:sz w:val="14"/>
          <w:szCs w:val="14"/>
          <w:color w:val="auto"/>
        </w:rPr>
      </w:pPr>
    </w:p>
    <w:p>
      <w:pPr>
        <w:ind w:left="1740" w:right="419" w:hanging="421"/>
        <w:spacing w:after="0" w:line="265"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45,454 shares of common stock issuable upon exercise of Pre-Funded Warrants issued in the Private Placement and (ii) 22,727 shares of common stock issuable upon exercise of Warrants issued in the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219"/>
        <w:spacing w:after="0" w:line="259" w:lineRule="auto"/>
        <w:rPr>
          <w:sz w:val="20"/>
          <w:szCs w:val="20"/>
          <w:color w:val="auto"/>
        </w:rPr>
      </w:pPr>
      <w:r>
        <w:rPr>
          <w:rFonts w:ascii="Times New Roman" w:cs="Times New Roman" w:eastAsia="Times New Roman" w:hAnsi="Times New Roman"/>
          <w:sz w:val="14"/>
          <w:szCs w:val="14"/>
          <w:color w:val="auto"/>
        </w:rPr>
        <w:t>Private Placement, in each case held by the Michael M Kellen Descendants 2012 GST Trust. Denise Kellen has voting and investment control of the securities held by the Michael M Kellen Descendants 2012 GST Trust. The address for the selling stockholder is 1345 Avenue of the Americas, 48th Floor, New York, NY 10105.</w:t>
      </w:r>
    </w:p>
    <w:p>
      <w:pPr>
        <w:spacing w:after="0" w:line="2" w:lineRule="exact"/>
        <w:rPr>
          <w:sz w:val="20"/>
          <w:szCs w:val="20"/>
          <w:color w:val="auto"/>
        </w:rPr>
      </w:pPr>
    </w:p>
    <w:p>
      <w:pPr>
        <w:jc w:val="both"/>
        <w:ind w:left="1740" w:right="21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John Scott Moore. The address for the selling stockholder is 6649 Avalon Ave, Dallas, TX 75214.</w:t>
      </w:r>
    </w:p>
    <w:p>
      <w:pPr>
        <w:spacing w:after="0" w:line="1" w:lineRule="exact"/>
        <w:rPr>
          <w:rFonts w:ascii="Times New Roman" w:cs="Times New Roman" w:eastAsia="Times New Roman" w:hAnsi="Times New Roman"/>
          <w:sz w:val="14"/>
          <w:szCs w:val="14"/>
          <w:color w:val="auto"/>
        </w:rPr>
      </w:pPr>
    </w:p>
    <w:p>
      <w:pPr>
        <w:jc w:val="both"/>
        <w:ind w:left="1740" w:right="27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1,908 shares of common stock issuable upon exercise of Pre-Funded Warrants issued in the Private Placement and (ii) 954 shares of common stock issuable upon exercise of Warrants issued in the Private Placement, in each case held by Jorge Morazzani. The address for the selling stockholder is 2606 Powdermill Lane, Vienna, VA 22181.</w:t>
      </w:r>
    </w:p>
    <w:p>
      <w:pPr>
        <w:spacing w:after="0" w:line="1" w:lineRule="exact"/>
        <w:rPr>
          <w:rFonts w:ascii="Times New Roman" w:cs="Times New Roman" w:eastAsia="Times New Roman" w:hAnsi="Times New Roman"/>
          <w:sz w:val="14"/>
          <w:szCs w:val="14"/>
          <w:color w:val="auto"/>
        </w:rPr>
      </w:pPr>
    </w:p>
    <w:p>
      <w:pPr>
        <w:ind w:left="1740" w:right="31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Edmond Allen Morrison. The address for the selling stockholder is 50 Angus Lane, Warren, NJ 07509.</w:t>
      </w:r>
    </w:p>
    <w:p>
      <w:pPr>
        <w:spacing w:after="0" w:line="1" w:lineRule="exact"/>
        <w:rPr>
          <w:rFonts w:ascii="Times New Roman" w:cs="Times New Roman" w:eastAsia="Times New Roman" w:hAnsi="Times New Roman"/>
          <w:sz w:val="14"/>
          <w:szCs w:val="14"/>
          <w:color w:val="auto"/>
        </w:rPr>
      </w:pPr>
    </w:p>
    <w:p>
      <w:pPr>
        <w:ind w:left="1740" w:right="39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9,088 shares of common stock issuable upon exercise of Pre-Funded Warrants issued in the Private Placement and (ii) 4,544 shares of common stock issuable upon exercise of Warrants issued in the Private Placement, in each case held by Sam Naficy. The address for the selling stockholder is 609 Los Lomas Ave, Pacific Palisades, CA 90272.</w:t>
      </w:r>
    </w:p>
    <w:p>
      <w:pPr>
        <w:spacing w:after="0" w:line="1" w:lineRule="exact"/>
        <w:rPr>
          <w:rFonts w:ascii="Times New Roman" w:cs="Times New Roman" w:eastAsia="Times New Roman" w:hAnsi="Times New Roman"/>
          <w:sz w:val="14"/>
          <w:szCs w:val="14"/>
          <w:color w:val="auto"/>
        </w:rPr>
      </w:pPr>
    </w:p>
    <w:p>
      <w:pPr>
        <w:ind w:left="1740" w:right="23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908 shares of common stock issuable upon exercise of Pre-Funded Warrants issued in the Private Placement and (ii) 454 shares of common stock issuable upon exercise of Warrants issued in the Private Placement, in each case held by James Eric Nicely &amp; Karen B. Nicely JTWROS. James Eric Nicely and Karen B. Nicely have voting and investment control of the securities held by James Eric Nicely &amp; Karen B. Nicely JTWROS. The address for the selling stockholder is 56 Blackburn Road, Summit, NJ 07901.</w:t>
      </w:r>
    </w:p>
    <w:p>
      <w:pPr>
        <w:spacing w:after="0" w:line="2"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13,632 shares of common stock issuable upon exercise of Pre-Funded Warrants issued in the Private Placement and (ii) 6,816 shares of common stock issuable upon exercise of Warrants issued in the Private Placement, in each case held by Donald J. Nitti. The address for the selling stockholder is 1011 Grist Mill Circle, Roslyn, NY 11576.</w:t>
      </w:r>
    </w:p>
    <w:p>
      <w:pPr>
        <w:spacing w:after="0" w:line="1" w:lineRule="exact"/>
        <w:rPr>
          <w:rFonts w:ascii="Times New Roman" w:cs="Times New Roman" w:eastAsia="Times New Roman" w:hAnsi="Times New Roman"/>
          <w:sz w:val="14"/>
          <w:szCs w:val="14"/>
          <w:color w:val="auto"/>
        </w:rPr>
      </w:pPr>
    </w:p>
    <w:p>
      <w:pPr>
        <w:ind w:left="1740" w:right="55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9,086 shares of common stock issuable upon exercise of Pre-Funded Warrants issued in the Private Placement and (ii) 4,543 shares of common stock issuable upon exercise of Warrants issued in the Private Placement, in each case held by Richard Douglas Nix Revocable Trust Dated 4-28-2019. The address for the selling stockholder is 1804 Drury Ln, Nichols Hills, OK 73116.</w:t>
      </w:r>
    </w:p>
    <w:p>
      <w:pPr>
        <w:spacing w:after="0" w:line="1" w:lineRule="exact"/>
        <w:rPr>
          <w:rFonts w:ascii="Times New Roman" w:cs="Times New Roman" w:eastAsia="Times New Roman" w:hAnsi="Times New Roman"/>
          <w:sz w:val="14"/>
          <w:szCs w:val="14"/>
          <w:color w:val="auto"/>
        </w:rPr>
      </w:pPr>
    </w:p>
    <w:p>
      <w:pPr>
        <w:ind w:left="1740" w:right="31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4,543 shares of common stock issuable upon exercise of Pre-Funded Warrants issued in the Private Placement and (ii) 9,086 shares of common stock issuable upon exercise of Warrants issued in the Private Placement, in each case held by Jordan Nolte. The address for the selling stockholder is P.O. Box 236, Danville, CA 94526.</w:t>
      </w:r>
    </w:p>
    <w:p>
      <w:pPr>
        <w:spacing w:after="0" w:line="1"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3,636 shares of common stock issuable upon exercise of Pre-Funded Warrants issued in the Private Placement and (ii) 1,818 shares of common stock issuable upon exercise of Warrants issued in the Private Placement, in each case held by Mason Henry Otten &amp; Aubree Rose Otten JTWROS. Mason Henry Otten and Aubree Rose Otten have voting and investment control of the securities held by the Mason Henry Otten &amp; Aubree Rose Otten JTWROS. The address for the selling stockholder is 732 Polson Court, Bakersfield, CA 93314.</w:t>
      </w:r>
    </w:p>
    <w:p>
      <w:pPr>
        <w:spacing w:after="0" w:line="2" w:lineRule="exact"/>
        <w:rPr>
          <w:rFonts w:ascii="Times New Roman" w:cs="Times New Roman" w:eastAsia="Times New Roman" w:hAnsi="Times New Roman"/>
          <w:sz w:val="14"/>
          <w:szCs w:val="14"/>
          <w:color w:val="auto"/>
        </w:rPr>
      </w:pPr>
    </w:p>
    <w:p>
      <w:pPr>
        <w:ind w:left="1740" w:right="239" w:hanging="421"/>
        <w:spacing w:after="0" w:line="252"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the Padinha Management Trust Dated 8-12-2021. Henry Padinha has voting and investment control of the securities held by the Padinha Management Trust Dated 8-12-2021. The address for the selling stockholder is 618 Vendemmia Bend, Lakeway, TX 78738.</w:t>
      </w:r>
    </w:p>
    <w:p>
      <w:pPr>
        <w:spacing w:after="0" w:line="2" w:lineRule="exact"/>
        <w:rPr>
          <w:rFonts w:ascii="Times New Roman" w:cs="Times New Roman" w:eastAsia="Times New Roman" w:hAnsi="Times New Roman"/>
          <w:sz w:val="14"/>
          <w:szCs w:val="14"/>
          <w:color w:val="auto"/>
        </w:rPr>
      </w:pPr>
    </w:p>
    <w:p>
      <w:pPr>
        <w:ind w:left="1740" w:right="359" w:hanging="421"/>
        <w:spacing w:after="0" w:line="259"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 shares of common stock issuable upon exercise of Pre-Funded Warrants issued in the Private Placement and (ii) 4,545 shares of common stock issuable upon exercise of Warrants issued in the Private Placement, in each case held by Benjamin L. Padnos and (iii) 6,818 shares of common stock</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259"/>
        <w:spacing w:after="0" w:line="258" w:lineRule="auto"/>
        <w:rPr>
          <w:sz w:val="20"/>
          <w:szCs w:val="20"/>
          <w:color w:val="auto"/>
        </w:rPr>
      </w:pPr>
      <w:r>
        <w:rPr>
          <w:rFonts w:ascii="Times New Roman" w:cs="Times New Roman" w:eastAsia="Times New Roman" w:hAnsi="Times New Roman"/>
          <w:sz w:val="14"/>
          <w:szCs w:val="14"/>
          <w:color w:val="auto"/>
        </w:rPr>
        <w:t>issuable upon exercise of Pre-Funded Warrants issued in the Private Placement and (iv) 3,409 shares of common stock issuable upon exercise of the Warrants issued in the Private Placement, in each case held by the Jeffrey Padnos and Margaret Padnos 2010 GEN TR DTD 3-25-10. Benjamin L. Padnos has voting and investment control of the securities held by the Jeffrey Padnos and Margaret Padnos 2010 GEN TR DTD 3-25-10. The address for the selling stockholder is 1088 West 27th St, Holland, MI 49423.</w:t>
      </w:r>
    </w:p>
    <w:p>
      <w:pPr>
        <w:ind w:left="1740" w:right="319" w:hanging="421"/>
        <w:spacing w:after="0" w:line="25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6,818 shares of common stock issuable upon exercise of Pre-Funded Warrants issued in the Private Placement and (ii) 3,409 shares of common stock issuable upon exercise of Warrants issued in the Private Placement, in each case held by Jeffrey S. Padnos &amp; Margaret M. Padnos JTWROS. The address for the selling stockholder is 1088 West 27th St, Holland, MI 49423.</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the AJP Living Trust DTD 4-1-2008. Alpesh B. Patel has voting and investment control of the securities held by the AJP Living Trust DTD 4-1-2008. The address for the selling stockholder is 11760 E Windrose Dr, Scottsdale, AZ 85259.</w:t>
      </w:r>
    </w:p>
    <w:p>
      <w:pPr>
        <w:spacing w:after="0" w:line="2" w:lineRule="exact"/>
        <w:rPr>
          <w:rFonts w:ascii="Times New Roman" w:cs="Times New Roman" w:eastAsia="Times New Roman" w:hAnsi="Times New Roman"/>
          <w:sz w:val="14"/>
          <w:szCs w:val="14"/>
          <w:color w:val="auto"/>
        </w:rPr>
      </w:pPr>
    </w:p>
    <w:p>
      <w:pPr>
        <w:ind w:left="1740" w:right="379" w:hanging="421"/>
        <w:spacing w:after="0" w:line="25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Thomas Puthiyamadam. The address for the selling stockholder is 63 Eastview Dr, Valhalla, NY 10595.</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Michael F. Quinlan. The address for the selling stockholder is 195 King Caesar Rd, Duxbury, MA 02332.</w:t>
      </w:r>
    </w:p>
    <w:p>
      <w:pPr>
        <w:spacing w:after="0" w:line="1" w:lineRule="exact"/>
        <w:rPr>
          <w:rFonts w:ascii="Times New Roman" w:cs="Times New Roman" w:eastAsia="Times New Roman" w:hAnsi="Times New Roman"/>
          <w:sz w:val="14"/>
          <w:szCs w:val="14"/>
          <w:color w:val="auto"/>
        </w:rPr>
      </w:pPr>
    </w:p>
    <w:p>
      <w:pPr>
        <w:ind w:left="1740" w:right="439" w:hanging="421"/>
        <w:spacing w:after="0" w:line="25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1,636 shares of common stock issuable upon exercise of Pre-Funded Warrants purchased in the Private Placement and (ii) 818 shares of common stock issuable upon exercise of Warrants issued in the Private Placement, in each case held by the Peter D. Raymond Revocable Trust Dated 11-23-2012. Peter D. Raymond has voting and investment control of the securities held by the Peter D. Raymond Revocable Trust Dated 11-23-2012. The address for the selling stockholder is 11707 Blue Smoke Trail, Reston, VA 20191.</w:t>
      </w:r>
    </w:p>
    <w:p>
      <w:pPr>
        <w:spacing w:after="0" w:line="2"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Aaron Resnick. The address for the selling stockholder is 450 Alton Road, Unit 2202, Miami Beach, FL 33139.</w:t>
      </w:r>
    </w:p>
    <w:p>
      <w:pPr>
        <w:spacing w:after="0" w:line="1" w:lineRule="exact"/>
        <w:rPr>
          <w:rFonts w:ascii="Times New Roman" w:cs="Times New Roman" w:eastAsia="Times New Roman" w:hAnsi="Times New Roman"/>
          <w:sz w:val="14"/>
          <w:szCs w:val="14"/>
          <w:color w:val="auto"/>
        </w:rPr>
      </w:pPr>
    </w:p>
    <w:p>
      <w:pPr>
        <w:ind w:left="1740" w:right="319" w:hanging="421"/>
        <w:spacing w:after="0" w:line="25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190,908 shares of common stock issuable upon exercise of Pre-Funded Warrants issued in the Private Placement and (ii) 95,584 shares of common stock issuable upon exercise of Warrants issued in the Private Placement, in each case held by Erick E. Richardson. Due to a beneficial ownership blocker in the Pre-Funded Warrants and Warrants, the number of shares beneficially owned prior to the offering excludes 99,695 shares of common stock issuable upon the exercise of Pre-Funded Warrants and 81,837 shares of common stock issuable upon the exercise of Warrants held by Erick E. Richardson. The address for the selling stockholder is 11290 Chalon Drive, Los Angeles, CA 90049.</w:t>
      </w:r>
    </w:p>
    <w:p>
      <w:pPr>
        <w:spacing w:after="0" w:line="2"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513,616 shares of common stock issuable upon exercise of Pre-Funded Warrants issued in the Private Placement and (ii) 256,808 shares of common stock issuable upon exercise of Warrants issued in the Private Placement, in each case held by Andrew Schwartzberg. Due to a beneficial ownership blocker in the Pre-Funded Warrants and Warrants, the number of shares beneficially owned prior to the offering excludes 1,074,430 shares of common stock issuable upon the exercise of Pre-Funded Warrants and 499,108 shares of common stock issuable upon the exercise of Warrants held by Andrew Schwartzberg. The address for the selling stockholder is 11810 Grand Park Ave, Suite 625, N Bethesda, MD 20852.</w:t>
      </w:r>
    </w:p>
    <w:p>
      <w:pPr>
        <w:spacing w:after="0" w:line="3" w:lineRule="exact"/>
        <w:rPr>
          <w:rFonts w:ascii="Times New Roman" w:cs="Times New Roman" w:eastAsia="Times New Roman" w:hAnsi="Times New Roman"/>
          <w:sz w:val="14"/>
          <w:szCs w:val="14"/>
          <w:color w:val="auto"/>
        </w:rPr>
      </w:pPr>
    </w:p>
    <w:p>
      <w:pPr>
        <w:ind w:left="1740" w:right="239" w:hanging="421"/>
        <w:spacing w:after="0" w:line="259"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908 shares of common stock issuable upon exercise of Pre-Funded Warrants issued in the Private Placement and (ii) 454 shares of common stock issuable upon exercise of Warrants issued in the Private Placement, in each case held by Donald P. Sesterhenn. The address for the selling stockholder is 3410 Raymond Court, Racine, WI 53405.</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339" w:hanging="421"/>
        <w:spacing w:after="0" w:line="259"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purchased in the Private Placement and (ii) 681 shares of common stock issuable upon exercise of Warrants issued in the Private Placement, in each case held by Thomas Euclid Smith Jr. The address for the selling stockholder is 6415 Desco Dr, Dallas, TX 75225.</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The Snow Family Trust Dated</w:t>
      </w:r>
    </w:p>
    <w:p>
      <w:pPr>
        <w:spacing w:after="0" w:line="1" w:lineRule="exact"/>
        <w:rPr>
          <w:rFonts w:ascii="Times New Roman" w:cs="Times New Roman" w:eastAsia="Times New Roman" w:hAnsi="Times New Roman"/>
          <w:sz w:val="14"/>
          <w:szCs w:val="14"/>
          <w:color w:val="auto"/>
        </w:rPr>
      </w:pPr>
    </w:p>
    <w:p>
      <w:pPr>
        <w:ind w:left="1740" w:right="2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6-4-2021. Michael Snow has voting and investment control of the securities held by The Snow Family Trust Dated 6-4-2021. The address for the selling stockholder is 1920 S Pacific Coast Hwy 111, Redondo Beach, CA 90277.</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1,818 shares of common stock issuable upon exercise of Pre-Funded Warrants issued in the Private Placement and (ii) 909 shares of common stock issuable upon exercise of Warrants issued in the Private Placement, in each case held by James Somers. The address for the selling stockholder is 2471 North 91 St, Milwaukee, WI 53226.</w:t>
      </w:r>
    </w:p>
    <w:p>
      <w:pPr>
        <w:spacing w:after="0" w:line="1" w:lineRule="exact"/>
        <w:rPr>
          <w:rFonts w:ascii="Times New Roman" w:cs="Times New Roman" w:eastAsia="Times New Roman" w:hAnsi="Times New Roman"/>
          <w:sz w:val="14"/>
          <w:szCs w:val="14"/>
          <w:color w:val="auto"/>
        </w:rPr>
      </w:pPr>
    </w:p>
    <w:p>
      <w:pPr>
        <w:ind w:left="1740" w:right="21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2,090 shares of common stock issuable upon exercise of Pre-Funded Warrants issued in the Private Placement and (ii) 1,045 shares of common stock issuable upon exercise of Warrants issued in the Private Placement, in each case held by Stealth Funding Corp. Michael Barone has voting and investment control of the securities held by Stealth Funding Corp. The address for the selling stockholder is 228 Dutchess Avenue, Staten Island, NY 10304.</w:t>
      </w:r>
    </w:p>
    <w:p>
      <w:pPr>
        <w:spacing w:after="0" w:line="2" w:lineRule="exact"/>
        <w:rPr>
          <w:rFonts w:ascii="Times New Roman" w:cs="Times New Roman" w:eastAsia="Times New Roman" w:hAnsi="Times New Roman"/>
          <w:sz w:val="14"/>
          <w:szCs w:val="14"/>
          <w:color w:val="auto"/>
        </w:rPr>
      </w:pPr>
    </w:p>
    <w:p>
      <w:pPr>
        <w:ind w:left="1740" w:right="29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590,908 shares of common stock issuable upon exercise of Pre-Funded Warrants purchased in the Private Placement and (ii) 295,454 shares of common stock issuable upon exercise of Warrants issued in the Private Placement, in each case held by Strome Mezzanine Fund II LP. Due to a beneficial ownership blocker in the Pre-Funded Warrants and Warrants, the number of shares beneficially owned prior to the offering excludes 911,519 shares of common stock issuable upon the exercise of Pre-Funded Warrants and 430,573 shares of common stock issuable upon the exercise of Warrants held by Strome Mezzanine Fund II LP. Mark Strome has voting and investment control of the securities held by Strome Mezzanine Fund II LP. The address for the selling stockholder is 13535 Ventura Blvd, C-525, Sherman Oaks, CA 91423.</w:t>
      </w:r>
    </w:p>
    <w:p>
      <w:pPr>
        <w:spacing w:after="0" w:line="3" w:lineRule="exact"/>
        <w:rPr>
          <w:rFonts w:ascii="Times New Roman" w:cs="Times New Roman" w:eastAsia="Times New Roman" w:hAnsi="Times New Roman"/>
          <w:sz w:val="14"/>
          <w:szCs w:val="14"/>
          <w:color w:val="auto"/>
        </w:rPr>
      </w:pPr>
    </w:p>
    <w:p>
      <w:pPr>
        <w:jc w:val="both"/>
        <w:ind w:left="1740" w:right="27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James Douglas Summa. The address for the selling stockholder is 39 Vestry Street, Apt 5A, New York, NY 10013.</w:t>
      </w:r>
    </w:p>
    <w:p>
      <w:pPr>
        <w:spacing w:after="0" w:line="1" w:lineRule="exact"/>
        <w:rPr>
          <w:rFonts w:ascii="Times New Roman" w:cs="Times New Roman" w:eastAsia="Times New Roman" w:hAnsi="Times New Roman"/>
          <w:sz w:val="14"/>
          <w:szCs w:val="14"/>
          <w:color w:val="auto"/>
        </w:rPr>
      </w:pPr>
    </w:p>
    <w:p>
      <w:pPr>
        <w:ind w:left="1740" w:right="55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4,542 shares of common stock issuable upon exercise of Pre-Funded Warrants issued in the Private Placement and (ii) 2,271 shares of common stock issuable upon exercise of Warrants issued in the Private Placement, in each case held by Sweet Grass 490. Steven McKnight has voting and investment control of the securities held by Sweet Grass 490. The address for the selling stockholder is 8513 Swananoah Rd, Dallas, TX 75209.</w:t>
      </w:r>
    </w:p>
    <w:p>
      <w:pPr>
        <w:spacing w:after="0" w:line="2"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3,636 shares of common stock issuable upon exercise of Pre-Funded Warrants issued in the Private Placement and (ii) 1,818 shares of common stock issuable upon exercise of Warrants issued in the Private Placement, in each case held by Rajiv A. Thadani. The address for the selling stockholder is 48980 Tulare Dr, Fremont, CA 94539.</w:t>
      </w:r>
    </w:p>
    <w:p>
      <w:pPr>
        <w:spacing w:after="0" w:line="1" w:lineRule="exact"/>
        <w:rPr>
          <w:rFonts w:ascii="Times New Roman" w:cs="Times New Roman" w:eastAsia="Times New Roman" w:hAnsi="Times New Roman"/>
          <w:sz w:val="14"/>
          <w:szCs w:val="14"/>
          <w:color w:val="auto"/>
        </w:rPr>
      </w:pPr>
    </w:p>
    <w:p>
      <w:pPr>
        <w:jc w:val="both"/>
        <w:ind w:left="1740" w:right="53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3,180 shares of common stock issuable upon exercise of Pre-Funded Warrants issued in the Private Placement and (ii) 1,590 shares of common stock issuable upon exercise of Warrants issued in the Private Placement, in each case held by Chetan R. Vagholkar. The address for the selling stockholder is 3131 Memorial Ct, Houston, TX 77007.</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 Private Placement, in each case held by Ellen Louise Valde. The address for the selling stockholder is 384 E Pinehurst Trail, Dakota Dune, SD 57049.</w:t>
      </w:r>
    </w:p>
    <w:p>
      <w:pPr>
        <w:spacing w:after="0" w:line="1" w:lineRule="exact"/>
        <w:rPr>
          <w:rFonts w:ascii="Times New Roman" w:cs="Times New Roman" w:eastAsia="Times New Roman" w:hAnsi="Times New Roman"/>
          <w:sz w:val="14"/>
          <w:szCs w:val="14"/>
          <w:color w:val="auto"/>
        </w:rPr>
      </w:pPr>
    </w:p>
    <w:p>
      <w:pPr>
        <w:ind w:left="1740" w:right="279" w:hanging="421"/>
        <w:spacing w:after="0" w:line="265"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1,362 shares of common stock issuable upon exercise of Pre-Funded Warrants issued in the Private Placement and (ii) 681 shares of common stock issuable upon exercise of Warrants issued in the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Private Placement, in each case held by Daniel M. Valerio. The address for the selling stockholder is 10320 Mackenzie Way, Dublin, OH 43017.</w:t>
      </w:r>
    </w:p>
    <w:p>
      <w:pPr>
        <w:spacing w:after="0" w:line="23" w:lineRule="exact"/>
        <w:rPr>
          <w:sz w:val="20"/>
          <w:szCs w:val="20"/>
          <w:color w:val="auto"/>
        </w:rPr>
      </w:pPr>
    </w:p>
    <w:p>
      <w:pPr>
        <w:ind w:left="1740" w:right="25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2,272 shares of common stock issuable upon exercise of Pre-Funded Warrants issued in the Private Placement and (ii) 1,136 shares of common stock issuable upon exercise of Warrants issued in the Private Placement, in each case held by Gerard J. Verweij. The address for the selling stockholder is 188 Brookline Avenue, Unit 19J, Boston, MA 02215.</w:t>
      </w:r>
    </w:p>
    <w:p>
      <w:pPr>
        <w:spacing w:after="0" w:line="1"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4,544 shares of common stock issuable upon exercise of Pre-Funded Warrants issued in the Private Placement and (ii) 2,272 shares of common stock issuable upon exercise of Warrants issued in the Private Placement, in each case held by Greg A. Walker &amp; Susan H. Walker JTWROS. Greg A. Walker and Susan H. Walker have voting and investment control of the securities held by Greg A. Walker &amp; Susan H. Walker JTWROS. The address for the selling stockholder 727 Harness Creek View Dr., Annapolis, MD 21403.</w:t>
      </w:r>
    </w:p>
    <w:p>
      <w:pPr>
        <w:spacing w:after="0" w:line="2"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9,090 shares of common stock issuable upon exercise of Pre-Funded Warrants issued in the Private Placement and (ii) 4,545 shares of common stock issuable upon exercise of Warrants issued in the Private Placement, in each case held by Martin S. Walker. The address for the selling stockholder is 1616 Atlantic Blvd, Apt 18, Key West, FL 33040.</w:t>
      </w:r>
    </w:p>
    <w:p>
      <w:pPr>
        <w:spacing w:after="0" w:line="1" w:lineRule="exact"/>
        <w:rPr>
          <w:rFonts w:ascii="Times New Roman" w:cs="Times New Roman" w:eastAsia="Times New Roman" w:hAnsi="Times New Roman"/>
          <w:sz w:val="14"/>
          <w:szCs w:val="14"/>
          <w:color w:val="auto"/>
        </w:rPr>
      </w:pPr>
    </w:p>
    <w:p>
      <w:pPr>
        <w:ind w:left="1740" w:right="19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27,268 shares of common stock issuable upon exercise of Pre-Funded Warrants issued in the Private Placement and (ii) 13,634 shares of common stock issuable upon exercise of Warrants issued in the Private Placement, in each case held by Brian Weitman. The address for the selling stockholder is 1457 E Washington Blvd, Los Angeles, CA 90021.</w:t>
      </w:r>
    </w:p>
    <w:p>
      <w:pPr>
        <w:spacing w:after="0" w:line="1"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9,088 shares of common stock issuable upon exercise of Pre-Funded Warrants issued in the Private Placement and (ii) 4,544 shares of common stock issuable upon exercise of Warrants issued in the Private Placement, in each case held by Shaheen Wirk. The address for the selling stockholder is 10041 SW 61ST Avenue, Pinecrest, FL 33156.</w:t>
      </w:r>
    </w:p>
    <w:p>
      <w:pPr>
        <w:spacing w:after="0" w:line="1" w:lineRule="exact"/>
        <w:rPr>
          <w:rFonts w:ascii="Times New Roman" w:cs="Times New Roman" w:eastAsia="Times New Roman" w:hAnsi="Times New Roman"/>
          <w:sz w:val="14"/>
          <w:szCs w:val="14"/>
          <w:color w:val="auto"/>
        </w:rPr>
      </w:pPr>
    </w:p>
    <w:p>
      <w:pPr>
        <w:ind w:left="1740" w:right="25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2,726 shares of common stock issuable upon exercise of Pre-Funded Warrants issued in the Private Placement and (ii) 1,363 shares of common stock issuable upon exercise of Warrants issued in the Private Placement, in each case held by Kevin Wu. The address for the selling stockholder is 109 Panorama, Irvine, CA 92618.</w:t>
      </w:r>
    </w:p>
    <w:p>
      <w:pPr>
        <w:spacing w:after="0" w:line="1" w:lineRule="exact"/>
        <w:rPr>
          <w:rFonts w:ascii="Times New Roman" w:cs="Times New Roman" w:eastAsia="Times New Roman" w:hAnsi="Times New Roman"/>
          <w:sz w:val="14"/>
          <w:szCs w:val="14"/>
          <w:color w:val="auto"/>
        </w:rPr>
      </w:pPr>
    </w:p>
    <w:p>
      <w:pPr>
        <w:ind w:left="1740" w:right="27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1,818 shares of common stock issuable upon exercise of Pre-Funded Warrants issued in the Private Placement and (ii) 909 shares of common stock issuable upon exercise of Warrants issued in the Private Placement, in each case held by Eugene Zaino. The address for the selling stockholder is 8100 Navidad Drive, Austin, TX 78735.</w:t>
      </w:r>
    </w:p>
    <w:p>
      <w:pPr>
        <w:spacing w:after="0" w:line="1" w:lineRule="exact"/>
        <w:rPr>
          <w:rFonts w:ascii="Times New Roman" w:cs="Times New Roman" w:eastAsia="Times New Roman" w:hAnsi="Times New Roman"/>
          <w:sz w:val="14"/>
          <w:szCs w:val="14"/>
          <w:color w:val="auto"/>
        </w:rPr>
      </w:pPr>
    </w:p>
    <w:p>
      <w:pPr>
        <w:jc w:val="both"/>
        <w:ind w:left="1740" w:right="25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1,818 shares of common stock issuable upon exercise of Pre-Funded Warrants issued in the Private Placement and (ii) 909 shares of common stock issuable upon exercise of Warrants issued in the Private Placement, in each case held by Jeffrey P. Zaleski. The address for the selling stockholder is 4159 Allegheny Drive, Troy, MI 48085.</w:t>
      </w:r>
    </w:p>
    <w:p>
      <w:pPr>
        <w:spacing w:after="0" w:line="1" w:lineRule="exact"/>
        <w:rPr>
          <w:rFonts w:ascii="Times New Roman" w:cs="Times New Roman" w:eastAsia="Times New Roman" w:hAnsi="Times New Roman"/>
          <w:sz w:val="14"/>
          <w:szCs w:val="14"/>
          <w:color w:val="auto"/>
        </w:rPr>
      </w:pPr>
    </w:p>
    <w:p>
      <w:pPr>
        <w:ind w:left="1740" w:right="239" w:hanging="421"/>
        <w:spacing w:after="0" w:line="25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908 shares of common stock issuable upon exercise of Pre-Funded Warrants issued in the Private Placement and (ii) 454 shares of common stock issuable upon exercise of Warrants issued in the Private Placement, in each case held by Stephen V. Zawoyski. The address for the selling stockholder is 5503 Lakeview Dr, Minneapolis, MN 55424.</w:t>
      </w:r>
    </w:p>
    <w:p>
      <w:pPr>
        <w:spacing w:after="0" w:line="1" w:lineRule="exact"/>
        <w:rPr>
          <w:rFonts w:ascii="Times New Roman" w:cs="Times New Roman" w:eastAsia="Times New Roman" w:hAnsi="Times New Roman"/>
          <w:sz w:val="14"/>
          <w:szCs w:val="14"/>
          <w:color w:val="auto"/>
        </w:rPr>
      </w:pPr>
    </w:p>
    <w:p>
      <w:pPr>
        <w:ind w:left="1740" w:right="359" w:hanging="421"/>
        <w:spacing w:after="0" w:line="259"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13,632 shares of common stock issuable upon exercise of Pre-Funded Warrants issued in the Private Placement and (ii) 6,816 shares of common stock issuable upon exercise of Warrants issued in the Private Placement, in each case held by Kevin J. Zegers. The address for the selling stockholder is 12643 Sarah St, Studio City, CA 91604.</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selling stockholders may use any one or more of the following methods when disposing of shares or interests therein:</w:t>
      </w:r>
    </w:p>
    <w:p>
      <w:pPr>
        <w:spacing w:after="0" w:line="104" w:lineRule="exact"/>
        <w:rPr>
          <w:sz w:val="20"/>
          <w:szCs w:val="20"/>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partners, stockholders or other equityholders of the selling stockholders;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4" w:lineRule="exact"/>
        <w:rPr>
          <w:rFonts w:ascii="Times New Roman" w:cs="Times New Roman" w:eastAsia="Times New Roman" w:hAnsi="Times New Roman"/>
          <w:sz w:val="14"/>
          <w:szCs w:val="14"/>
          <w:color w:val="auto"/>
        </w:rPr>
      </w:pPr>
    </w:p>
    <w:p>
      <w:pPr>
        <w:ind w:left="2080" w:right="679" w:hanging="337"/>
        <w:spacing w:after="0" w:line="286" w:lineRule="auto"/>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and settlement of short sales entered into after the effective date of the registration statement of which this prospectus is a part;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at a stipulated price per share;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by applicable law.</w:t>
      </w:r>
    </w:p>
    <w:p>
      <w:pPr>
        <w:spacing w:after="0" w:line="178" w:lineRule="exact"/>
        <w:rPr>
          <w:sz w:val="20"/>
          <w:szCs w:val="20"/>
          <w:color w:val="auto"/>
        </w:rPr>
      </w:pPr>
    </w:p>
    <w:p>
      <w:pPr>
        <w:jc w:val="both"/>
        <w:ind w:left="1320" w:right="279" w:firstLine="346"/>
        <w:spacing w:after="0" w:line="258" w:lineRule="auto"/>
        <w:rPr>
          <w:sz w:val="20"/>
          <w:szCs w:val="20"/>
          <w:color w:val="auto"/>
        </w:rPr>
      </w:pPr>
      <w:r>
        <w:rPr>
          <w:rFonts w:ascii="Times New Roman" w:cs="Times New Roman" w:eastAsia="Times New Roman" w:hAnsi="Times New Roman"/>
          <w:sz w:val="14"/>
          <w:szCs w:val="14"/>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ind w:left="1320" w:right="799"/>
        <w:spacing w:after="0" w:line="265" w:lineRule="auto"/>
        <w:rPr>
          <w:sz w:val="20"/>
          <w:szCs w:val="20"/>
          <w:color w:val="auto"/>
        </w:rPr>
      </w:pPr>
      <w:r>
        <w:rPr>
          <w:rFonts w:ascii="Times New Roman" w:cs="Times New Roman" w:eastAsia="Times New Roman" w:hAnsi="Times New Roman"/>
          <w:sz w:val="14"/>
          <w:szCs w:val="14"/>
          <w:color w:val="auto"/>
        </w:rPr>
        <w:t>The selling stockholders also may transfer the shares of common stock in other circumstances, in which case the transferees, pledgees or other successors in interest will be the selling stockholders for purposes of this prospectus.</w:t>
      </w:r>
    </w:p>
    <w:p>
      <w:pPr>
        <w:spacing w:after="0" w:line="139"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firstLine="346"/>
        <w:spacing w:after="0" w:line="264" w:lineRule="auto"/>
        <w:rPr>
          <w:sz w:val="20"/>
          <w:szCs w:val="20"/>
          <w:color w:val="auto"/>
        </w:rPr>
      </w:pPr>
      <w:r>
        <w:rPr>
          <w:rFonts w:ascii="Times New Roman" w:cs="Times New Roman" w:eastAsia="Times New Roman" w:hAnsi="Times New Roman"/>
          <w:sz w:val="14"/>
          <w:szCs w:val="14"/>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40"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2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The selling stockholders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40"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40" w:lineRule="exact"/>
        <w:rPr>
          <w:sz w:val="20"/>
          <w:szCs w:val="20"/>
          <w:color w:val="auto"/>
        </w:rPr>
      </w:pPr>
    </w:p>
    <w:p>
      <w:pPr>
        <w:ind w:left="1320" w:right="259" w:firstLine="346"/>
        <w:spacing w:after="0" w:line="269"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7"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42" w:lineRule="exact"/>
        <w:rPr>
          <w:sz w:val="20"/>
          <w:szCs w:val="20"/>
          <w:color w:val="auto"/>
        </w:rPr>
      </w:pPr>
    </w:p>
    <w:p>
      <w:pPr>
        <w:ind w:left="1320" w:right="479" w:firstLine="346"/>
        <w:spacing w:after="0" w:line="286" w:lineRule="auto"/>
        <w:rPr>
          <w:sz w:val="20"/>
          <w:szCs w:val="20"/>
          <w:color w:val="auto"/>
        </w:rPr>
      </w:pPr>
      <w:r>
        <w:rPr>
          <w:rFonts w:ascii="Times New Roman" w:cs="Times New Roman" w:eastAsia="Times New Roman" w:hAnsi="Times New Roman"/>
          <w:sz w:val="14"/>
          <w:szCs w:val="14"/>
          <w:color w:val="auto"/>
        </w:rPr>
        <w:t>We have agreed to indemnify the selling stockholders against liabilities, including liabilities under the Securities Act and state securities laws, relating to the registration of the shares offered by this prospectus.</w:t>
      </w:r>
    </w:p>
    <w:p>
      <w:pPr>
        <w:spacing w:after="0" w:line="125" w:lineRule="exact"/>
        <w:rPr>
          <w:sz w:val="20"/>
          <w:szCs w:val="20"/>
          <w:color w:val="auto"/>
        </w:rPr>
      </w:pPr>
    </w:p>
    <w:p>
      <w:pPr>
        <w:ind w:left="1320" w:right="319" w:firstLine="346"/>
        <w:spacing w:after="0" w:line="264" w:lineRule="auto"/>
        <w:rPr>
          <w:sz w:val="20"/>
          <w:szCs w:val="20"/>
          <w:color w:val="auto"/>
        </w:rPr>
      </w:pPr>
      <w:r>
        <w:rPr>
          <w:rFonts w:ascii="Times New Roman" w:cs="Times New Roman" w:eastAsia="Times New Roman" w:hAnsi="Times New Roman"/>
          <w:sz w:val="14"/>
          <w:szCs w:val="14"/>
          <w:color w:val="auto"/>
        </w:rPr>
        <w:t>We have agreed with the selling stockholders to use commercially reasonable efforts to cause the registration statement of which this prospectus constitutes a part to remain continuously effective until the earlier of (i) such time as all of the shares covered by this prospectus have been disposed of pursuant to and in accordance with such registration statement or (ii) the date on which all of the shares may be sold without restriction pursuant to Rule 144 of the Securities Act.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1320" w:right="419" w:firstLine="346"/>
        <w:spacing w:after="0" w:line="286" w:lineRule="auto"/>
        <w:rPr>
          <w:sz w:val="20"/>
          <w:szCs w:val="20"/>
          <w:color w:val="auto"/>
        </w:rPr>
      </w:pPr>
      <w:r>
        <w:rPr>
          <w:rFonts w:ascii="Times New Roman" w:cs="Times New Roman" w:eastAsia="Times New Roman" w:hAnsi="Times New Roman"/>
          <w:sz w:val="14"/>
          <w:szCs w:val="14"/>
          <w:color w:val="auto"/>
        </w:rPr>
        <w:t>Certain legal matters in connection with the offering and the validity of the securities offered by this prospectus will be passed upon by Cooley LLP, Santa Monica, California.</w:t>
      </w:r>
    </w:p>
    <w:p>
      <w:pPr>
        <w:spacing w:after="0" w:line="2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of Cue Biopharma, Inc. as of December 31, 2025 and 2024 and for each of the years in the two-year period ended December 31, 2025, incorporated in the prospectus by reference from the Cue Biopharma, Inc. Annual Report on Form 10-K for the year ended December 31, 2025 have been audited by RSM US LLP, an independent registered public accounting firm, as stated in their report thereon (which report on the consolidated financial statements expresses an unqualified opinion and includes an explanatory paragraph relating to the Company’s ability to continue as a going concern), incorporated herein by reference, and have been incorporated in this prospectus and registration statement in reliance upon such report and upon the authority of such firm as experts in accounting and auditing.</w:t>
      </w:r>
    </w:p>
    <w:p>
      <w:pPr>
        <w:spacing w:after="0" w:line="3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ind w:left="1320" w:right="399" w:firstLine="346"/>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We have not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45"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that contains reports, proxy statements and other information regarding issuers that file electronically with the SEC, including our company, Cue Biopharma, Inc. The address of the SEC website is www.sec.gov.</w:t>
      </w:r>
    </w:p>
    <w:p>
      <w:pPr>
        <w:spacing w:after="0" w:line="137" w:lineRule="exact"/>
        <w:rPr>
          <w:sz w:val="20"/>
          <w:szCs w:val="20"/>
          <w:color w:val="auto"/>
        </w:rPr>
      </w:pPr>
    </w:p>
    <w:p>
      <w:pPr>
        <w:ind w:left="1320" w:right="319" w:firstLine="346"/>
        <w:spacing w:after="0" w:line="286" w:lineRule="auto"/>
        <w:rPr>
          <w:sz w:val="20"/>
          <w:szCs w:val="20"/>
          <w:color w:val="auto"/>
        </w:rPr>
      </w:pPr>
      <w:r>
        <w:rPr>
          <w:rFonts w:ascii="Times New Roman" w:cs="Times New Roman" w:eastAsia="Times New Roman" w:hAnsi="Times New Roman"/>
          <w:sz w:val="14"/>
          <w:szCs w:val="14"/>
          <w:color w:val="auto"/>
        </w:rPr>
        <w:t>Copies of certain information filed by us with the SEC are also available on our website at www.cuebiopharma.com. Information contained in or accessible through our website does not constitute a part of this prospectus and is not incorporated by reference into this prospectus.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0"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including those made after the date of the initial filing of the registration statement of which this prospectus is a part but prior to the effectiveness of such registration statement, until we file a post-effective amendment that indicates the termination of all offerings of securities covered by this prospectus:</w:t>
      </w:r>
    </w:p>
    <w:p>
      <w:pPr>
        <w:spacing w:after="0" w:line="74" w:lineRule="exact"/>
        <w:rPr>
          <w:sz w:val="20"/>
          <w:szCs w:val="20"/>
          <w:color w:val="auto"/>
        </w:rPr>
      </w:pPr>
    </w:p>
    <w:p>
      <w:pPr>
        <w:ind w:left="2080" w:right="279" w:hanging="337"/>
        <w:spacing w:after="0" w:line="269" w:lineRule="auto"/>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2025, as filed with the SEC on March 16, 2026, including the information specifically incorporated by reference into the Annual Report on Form 10-K from our </w:t>
      </w:r>
      <w:hyperlink r:id="rId60">
        <w:r>
          <w:rPr>
            <w:rFonts w:ascii="Times New Roman" w:cs="Times New Roman" w:eastAsia="Times New Roman" w:hAnsi="Times New Roman"/>
            <w:sz w:val="14"/>
            <w:szCs w:val="14"/>
            <w:u w:val="single" w:color="auto"/>
            <w:color w:val="0000EE"/>
          </w:rPr>
          <w:t>definitive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2026 Annual Meeting of Stockholders;</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fiscal quarter ended March 31, 2026, as filed with the SEC on </w:t>
      </w:r>
      <w:hyperlink r:id="rId61">
        <w:r>
          <w:rPr>
            <w:rFonts w:ascii="Times New Roman" w:cs="Times New Roman" w:eastAsia="Times New Roman" w:hAnsi="Times New Roman"/>
            <w:sz w:val="14"/>
            <w:szCs w:val="14"/>
            <w:u w:val="single" w:color="auto"/>
            <w:color w:val="0000EE"/>
          </w:rPr>
          <w:t>May 14, 2026</w:t>
        </w:r>
      </w:hyperlink>
      <w:r>
        <w:rPr>
          <w:rFonts w:ascii="Times New Roman" w:cs="Times New Roman" w:eastAsia="Times New Roman" w:hAnsi="Times New Roman"/>
          <w:sz w:val="14"/>
          <w:szCs w:val="14"/>
          <w:color w:val="auto"/>
        </w:rPr>
        <w:t>;</w:t>
      </w:r>
    </w:p>
    <w:p>
      <w:pPr>
        <w:spacing w:after="0" w:line="104"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18"/>
        </w:numPr>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auto"/>
          </w:rPr>
          <w:t xml:space="preserve">our Current Reports on Form 8-K as filed with the SEC on </w:t>
        </w:r>
        <w:r>
          <w:rPr>
            <w:rFonts w:ascii="Times New Roman" w:cs="Times New Roman" w:eastAsia="Times New Roman" w:hAnsi="Times New Roman"/>
            <w:sz w:val="14"/>
            <w:szCs w:val="14"/>
            <w:u w:val="single" w:color="auto"/>
            <w:color w:val="0000EE"/>
          </w:rPr>
          <w:t>February 12,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w:t>
        </w:r>
      </w:hyperlink>
      <w:r>
        <w:rPr>
          <w:rFonts w:ascii="Times New Roman" w:cs="Times New Roman" w:eastAsia="Times New Roman" w:hAnsi="Times New Roman"/>
          <w:sz w:val="14"/>
          <w:szCs w:val="14"/>
          <w:color w:val="auto"/>
        </w:rPr>
        <w:t xml:space="preserve"> </w:t>
      </w:r>
      <w:hyperlink r:id="rId62">
        <w:r>
          <w:rPr>
            <w:rFonts w:ascii="Times New Roman" w:cs="Times New Roman" w:eastAsia="Times New Roman" w:hAnsi="Times New Roman"/>
            <w:sz w:val="14"/>
            <w:szCs w:val="14"/>
            <w:u w:val="single" w:color="auto"/>
            <w:color w:val="0000EE"/>
          </w:rPr>
          <w:t>13, 2026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3">
        <w:r>
          <w:rPr>
            <w:rFonts w:ascii="Times New Roman" w:cs="Times New Roman" w:eastAsia="Times New Roman" w:hAnsi="Times New Roman"/>
            <w:sz w:val="14"/>
            <w:szCs w:val="14"/>
            <w:u w:val="single" w:color="auto"/>
            <w:color w:val="0000EE"/>
          </w:rPr>
          <w:t>April 22, 2026</w:t>
        </w:r>
      </w:hyperlink>
      <w:hyperlink r:id="rId62">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4">
        <w:r>
          <w:rPr>
            <w:rFonts w:ascii="Times New Roman" w:cs="Times New Roman" w:eastAsia="Times New Roman" w:hAnsi="Times New Roman"/>
            <w:sz w:val="14"/>
            <w:szCs w:val="14"/>
            <w:u w:val="single" w:color="auto"/>
            <w:color w:val="0000EE"/>
          </w:rPr>
          <w:t xml:space="preserve">May 1, 2026 </w:t>
        </w:r>
      </w:hyperlink>
      <w:hyperlink r:id="rId62">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65">
        <w:r>
          <w:rPr>
            <w:rFonts w:ascii="Times New Roman" w:cs="Times New Roman" w:eastAsia="Times New Roman" w:hAnsi="Times New Roman"/>
            <w:sz w:val="14"/>
            <w:szCs w:val="14"/>
            <w:u w:val="single" w:color="auto"/>
            <w:color w:val="0000EE"/>
          </w:rPr>
          <w:t xml:space="preserve">June 2, 2026 </w:t>
        </w:r>
      </w:hyperlink>
      <w:hyperlink r:id="rId62">
        <w:r>
          <w:rPr>
            <w:rFonts w:ascii="Times New Roman" w:cs="Times New Roman" w:eastAsia="Times New Roman" w:hAnsi="Times New Roman"/>
            <w:sz w:val="14"/>
            <w:szCs w:val="14"/>
            <w:color w:val="000000"/>
          </w:rPr>
          <w:t>(each to the extent the information in such reports is filed and not furnished); and</w:t>
        </w:r>
      </w:hyperlink>
    </w:p>
    <w:p>
      <w:pPr>
        <w:spacing w:after="0" w:line="50" w:lineRule="exact"/>
        <w:rPr>
          <w:rFonts w:ascii="Times New Roman" w:cs="Times New Roman" w:eastAsia="Times New Roman" w:hAnsi="Times New Roman"/>
          <w:sz w:val="14"/>
          <w:szCs w:val="14"/>
          <w:color w:val="0000EE"/>
        </w:rPr>
      </w:pPr>
    </w:p>
    <w:p>
      <w:pPr>
        <w:ind w:left="2080" w:right="219" w:hanging="337"/>
        <w:spacing w:after="0" w:line="269" w:lineRule="auto"/>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in our registration statement on </w:t>
      </w:r>
      <w:hyperlink r:id="rId66">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December 13, 2017, including any amendments or reports filed for the purpose of updating such description, including </w:t>
      </w:r>
      <w:hyperlink r:id="rId67">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Annual Report on Form 10-K for the year ended December 31, 2025, which was filed with the SEC on March 16, 2026.</w:t>
      </w:r>
    </w:p>
    <w:p>
      <w:pPr>
        <w:spacing w:after="0" w:line="137" w:lineRule="exact"/>
        <w:rPr>
          <w:rFonts w:ascii="Times New Roman" w:cs="Times New Roman" w:eastAsia="Times New Roman" w:hAnsi="Times New Roman"/>
          <w:sz w:val="14"/>
          <w:szCs w:val="14"/>
          <w:color w:val="auto"/>
        </w:rPr>
      </w:pPr>
    </w:p>
    <w:p>
      <w:pPr>
        <w:ind w:left="1320" w:right="279" w:firstLine="346"/>
        <w:spacing w:after="0" w:line="264"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40 Guest Street, Boston, Massachusetts 02135, or by telephoning us at (617) 949-2680.</w:t>
      </w:r>
    </w:p>
    <w:p>
      <w:pPr>
        <w:spacing w:after="0" w:line="140" w:lineRule="exact"/>
        <w:rPr>
          <w:rFonts w:ascii="Times New Roman" w:cs="Times New Roman" w:eastAsia="Times New Roman" w:hAnsi="Times New Roman"/>
          <w:sz w:val="14"/>
          <w:szCs w:val="14"/>
          <w:color w:val="auto"/>
        </w:rPr>
      </w:pPr>
    </w:p>
    <w:p>
      <w:pPr>
        <w:jc w:val="both"/>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8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198120</wp:posOffset>
            </wp:positionV>
            <wp:extent cx="549275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492750" cy="1333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238760</wp:posOffset>
            </wp:positionV>
            <wp:extent cx="549275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4,090,908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396875</wp:posOffset>
            </wp:positionV>
            <wp:extent cx="1656080" cy="626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6560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1315085</wp:posOffset>
            </wp:positionV>
            <wp:extent cx="115760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194310</wp:posOffset>
            </wp:positionV>
            <wp:extent cx="115760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157605"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2085975</wp:posOffset>
            </wp:positionV>
            <wp:extent cx="549275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2132965</wp:posOffset>
            </wp:positionV>
            <wp:extent cx="549275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492750" cy="1333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5"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estimated costs and expenses to be incurred in connection with the sale and distribution of the securities being registered hereby, all of which will be borne by the Registrant (except any underwriting discounts and commissions and expenses incurred by the selling stockholders for brokerage, accounting, tax or legal services or any other expenses incurred by the selling stockholders in disposing of its shares). All amounts shown are estimates, except for the SEC registration fee.</w:t>
      </w:r>
    </w:p>
    <w:p>
      <w:pPr>
        <w:spacing w:after="0" w:line="176" w:lineRule="exact"/>
        <w:rPr>
          <w:sz w:val="20"/>
          <w:szCs w:val="20"/>
          <w:color w:val="auto"/>
        </w:rPr>
      </w:pPr>
    </w:p>
    <w:tbl>
      <w:tblPr>
        <w:tblLayout w:type="fixed"/>
        <w:tblInd w:w="2700" w:type="dxa"/>
        <w:tblCellMar>
          <w:top w:w="0" w:type="dxa"/>
          <w:left w:w="0" w:type="dxa"/>
          <w:bottom w:w="0" w:type="dxa"/>
          <w:right w:w="0" w:type="dxa"/>
        </w:tblCellMar>
      </w:tblPr>
      <w:tr>
        <w:trPr>
          <w:trHeight w:val="17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11,575.92</w:t>
            </w:r>
          </w:p>
        </w:tc>
        <w:tc>
          <w:tcPr>
            <w:tcW w:w="60" w:type="dxa"/>
            <w:vAlign w:val="bottom"/>
            <w:shd w:val="clear" w:color="auto" w:fill="CCEEFF"/>
          </w:tcPr>
          <w:p>
            <w:pPr>
              <w:spacing w:after="0"/>
              <w:rPr>
                <w:sz w:val="14"/>
                <w:szCs w:val="14"/>
                <w:color w:val="auto"/>
              </w:rPr>
            </w:pPr>
          </w:p>
        </w:tc>
      </w:tr>
      <w:tr>
        <w:trPr>
          <w:trHeight w:val="170"/>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60" w:type="dxa"/>
            <w:vAlign w:val="bottom"/>
          </w:tcPr>
          <w:p>
            <w:pPr>
              <w:spacing w:after="0"/>
              <w:rPr>
                <w:sz w:val="14"/>
                <w:szCs w:val="14"/>
                <w:color w:val="auto"/>
              </w:rPr>
            </w:pPr>
          </w:p>
        </w:tc>
      </w:tr>
      <w:tr>
        <w:trPr>
          <w:trHeight w:val="17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60" w:type="dxa"/>
            <w:vAlign w:val="bottom"/>
            <w:shd w:val="clear" w:color="auto" w:fill="CCEEFF"/>
          </w:tcPr>
          <w:p>
            <w:pPr>
              <w:spacing w:after="0"/>
              <w:rPr>
                <w:sz w:val="14"/>
                <w:szCs w:val="14"/>
                <w:color w:val="auto"/>
              </w:rPr>
            </w:pPr>
          </w:p>
        </w:tc>
      </w:tr>
      <w:tr>
        <w:trPr>
          <w:trHeight w:val="171"/>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miscellaneous expenses</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tcPr>
          <w:p>
            <w:pPr>
              <w:spacing w:after="0"/>
              <w:rPr>
                <w:sz w:val="14"/>
                <w:szCs w:val="14"/>
                <w:color w:val="auto"/>
              </w:rPr>
            </w:pPr>
          </w:p>
        </w:tc>
      </w:tr>
      <w:tr>
        <w:trPr>
          <w:trHeight w:val="170"/>
        </w:trPr>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104,575.92</w:t>
            </w:r>
          </w:p>
        </w:tc>
        <w:tc>
          <w:tcPr>
            <w:tcW w:w="60" w:type="dxa"/>
            <w:vAlign w:val="bottom"/>
            <w:shd w:val="clear" w:color="auto" w:fill="CCEEFF"/>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95" w:lineRule="exact"/>
        <w:rPr>
          <w:sz w:val="20"/>
          <w:szCs w:val="20"/>
          <w:color w:val="auto"/>
        </w:rPr>
      </w:pPr>
    </w:p>
    <w:p>
      <w:pPr>
        <w:ind w:left="1320" w:right="559" w:firstLine="346"/>
        <w:spacing w:after="0" w:line="269" w:lineRule="auto"/>
        <w:rPr>
          <w:sz w:val="20"/>
          <w:szCs w:val="20"/>
          <w:color w:val="auto"/>
        </w:rPr>
      </w:pPr>
      <w:r>
        <w:rPr>
          <w:rFonts w:ascii="Times New Roman" w:cs="Times New Roman" w:eastAsia="Times New Roman" w:hAnsi="Times New Roman"/>
          <w:sz w:val="14"/>
          <w:szCs w:val="14"/>
          <w:color w:val="auto"/>
        </w:rPr>
        <w:t>The following summary is qualified in its entirety by reference to the complete Delaware General Corporation Law, or the DGCL, and our Amended and Restated Certificate of Incorporation, as amended, or the Amended and Restated Certificate of Incorporation, and our Amended and Restated Bylaws.</w:t>
      </w:r>
    </w:p>
    <w:p>
      <w:pPr>
        <w:spacing w:after="0" w:line="137" w:lineRule="exact"/>
        <w:rPr>
          <w:sz w:val="20"/>
          <w:szCs w:val="20"/>
          <w:color w:val="auto"/>
        </w:rPr>
      </w:pPr>
    </w:p>
    <w:p>
      <w:pPr>
        <w:ind w:left="1320" w:right="219" w:firstLine="346"/>
        <w:spacing w:after="0" w:line="256" w:lineRule="auto"/>
        <w:rPr>
          <w:sz w:val="20"/>
          <w:szCs w:val="20"/>
          <w:color w:val="auto"/>
        </w:rPr>
      </w:pPr>
      <w:r>
        <w:rPr>
          <w:rFonts w:ascii="Times New Roman" w:cs="Times New Roman" w:eastAsia="Times New Roman" w:hAnsi="Times New Roman"/>
          <w:sz w:val="14"/>
          <w:szCs w:val="14"/>
          <w:color w:val="auto"/>
        </w:rPr>
        <w:t>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46"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Section 102(b)(7) of the DGCL provides, generally, that our Amended and Restated Certificate of Incorporation may contain a provision eliminating or limiting the personal liability of a director or officer to the corporation or its stockholders for monetary damages for breach of fiduciary duty as a director or officer, provided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spacing w:after="0" w:line="315" w:lineRule="exact"/>
        <w:rPr>
          <w:sz w:val="20"/>
          <w:szCs w:val="20"/>
          <w:color w:val="auto"/>
        </w:rPr>
      </w:pPr>
    </w:p>
    <w:p>
      <w:pPr>
        <w:ind w:left="1320" w:right="779" w:firstLine="346"/>
        <w:spacing w:after="0" w:line="286" w:lineRule="auto"/>
        <w:rPr>
          <w:sz w:val="20"/>
          <w:szCs w:val="20"/>
          <w:color w:val="auto"/>
        </w:rPr>
      </w:pPr>
      <w:r>
        <w:rPr>
          <w:rFonts w:ascii="Times New Roman" w:cs="Times New Roman" w:eastAsia="Times New Roman" w:hAnsi="Times New Roman"/>
          <w:sz w:val="14"/>
          <w:szCs w:val="14"/>
          <w:color w:val="auto"/>
        </w:rPr>
        <w:t>Article VI of our Amended and Restated Certificate of Incorporation states that our directors shall not be personally liable to us or to our stockholders for monetary damages for any breach of fiduciary duty as a director,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notwithstanding any provision of law imposing such liability.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142" w:lineRule="exact"/>
        <w:rPr>
          <w:sz w:val="20"/>
          <w:szCs w:val="20"/>
          <w:color w:val="auto"/>
        </w:rPr>
      </w:pPr>
    </w:p>
    <w:p>
      <w:pPr>
        <w:ind w:left="1320" w:right="319" w:firstLine="346"/>
        <w:spacing w:after="0" w:line="286" w:lineRule="auto"/>
        <w:rPr>
          <w:sz w:val="20"/>
          <w:szCs w:val="20"/>
          <w:color w:val="auto"/>
        </w:rPr>
      </w:pPr>
      <w:r>
        <w:rPr>
          <w:rFonts w:ascii="Times New Roman" w:cs="Times New Roman" w:eastAsia="Times New Roman" w:hAnsi="Times New Roman"/>
          <w:sz w:val="14"/>
          <w:szCs w:val="14"/>
          <w:color w:val="auto"/>
        </w:rPr>
        <w:t>Article V of our Amended and Restated Certificate of Incorporation provides that we shall indemnify (and advance expenses to) our officers and directors to the full extent permitted by the DGCL.</w:t>
      </w:r>
    </w:p>
    <w:p>
      <w:pPr>
        <w:spacing w:after="0" w:line="125" w:lineRule="exact"/>
        <w:rPr>
          <w:sz w:val="20"/>
          <w:szCs w:val="20"/>
          <w:color w:val="auto"/>
        </w:rPr>
      </w:pPr>
    </w:p>
    <w:p>
      <w:pPr>
        <w:ind w:left="1320" w:right="219" w:firstLine="346"/>
        <w:spacing w:after="0" w:line="255" w:lineRule="auto"/>
        <w:rPr>
          <w:sz w:val="20"/>
          <w:szCs w:val="20"/>
          <w:color w:val="auto"/>
        </w:rPr>
      </w:pPr>
      <w:r>
        <w:rPr>
          <w:rFonts w:ascii="Times New Roman" w:cs="Times New Roman" w:eastAsia="Times New Roman" w:hAnsi="Times New Roman"/>
          <w:sz w:val="14"/>
          <w:szCs w:val="14"/>
          <w:color w:val="auto"/>
        </w:rPr>
        <w:t>We have directors’ and officers’ liability insurance insuring our directors and officers against liability for acts or omissions in their capacities as directors or officers, subject to certain exclusions. Such insurance also insures us against losses which we may incur in indemnifying our officers and directors. As permitted by the DGCL, we have entered into indemnification agreements with each of our directors and executive officers that require us to indemnify such persons against various actions including, but not limited to, third-party actions where such director or executive officer, by reason of his or her corporate status, is a party or is threatened to be made a party to an action, or by reason of anything done or not done by such director in any such capacity. We intend to indemnify directors and executive officers against all costs, judgments, penalties, fines, liabilities, amounts paid in settlement by or on behalf such directors or executive officers and for any expenses actually and reasonably incurred by such directors or executive officers in connection with such action, if such directors or executive officers acted in good faith and in a manner they reasonably believed to be in or not opposed to the best interests of the Company, and with respect to any criminal proceeding, had no reasonable cause to believe their conduct was unlawful. We also intend to advance to our directors and executive officers expenses (including attorney’s fees) incurred by such directors and executive officers in advance of the final disposition of any action after the receipt by the Company of a statement or statements from directors or executive officers requesting such payment or payments from time to time, provided that such statement or statements are accompanied by an undertaking, by or on behalf of such directors or executive officers, to repay such amount if it shall ultimately be determined that they are not entitled to be indemnified against such expenses by the Company.</w:t>
      </w:r>
    </w:p>
    <w:p>
      <w:pPr>
        <w:spacing w:after="0" w:line="149" w:lineRule="exact"/>
        <w:rPr>
          <w:sz w:val="20"/>
          <w:szCs w:val="20"/>
          <w:color w:val="auto"/>
        </w:rPr>
      </w:pPr>
    </w:p>
    <w:p>
      <w:pPr>
        <w:ind w:left="1320" w:right="439" w:firstLine="346"/>
        <w:spacing w:after="0" w:line="264" w:lineRule="auto"/>
        <w:rPr>
          <w:sz w:val="20"/>
          <w:szCs w:val="20"/>
          <w:color w:val="auto"/>
        </w:rPr>
      </w:pPr>
      <w:r>
        <w:rPr>
          <w:rFonts w:ascii="Times New Roman" w:cs="Times New Roman" w:eastAsia="Times New Roman" w:hAnsi="Times New Roman"/>
          <w:sz w:val="14"/>
          <w:szCs w:val="14"/>
          <w:color w:val="auto"/>
        </w:rPr>
        <w:t>The indemnification agreements also set forth certain procedures that will apply in the event of a claim for indemnification or advancement of expenses, including, among others, provisions about providing notice to the Company of any action in connection with which a director or executive officer seeks indemnification or advancement of expenses from the Company and provisions concerning the determination of entitlement to indemnification or advancement of expenses.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77"/>
        </w:trPr>
        <w:tc>
          <w:tcPr>
            <w:tcW w:w="40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380" w:type="dxa"/>
            <w:vAlign w:val="bottom"/>
          </w:tcPr>
          <w:p>
            <w:pPr>
              <w:spacing w:after="0"/>
              <w:rPr>
                <w:sz w:val="11"/>
                <w:szCs w:val="11"/>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180" w:type="dxa"/>
            <w:vAlign w:val="bottom"/>
          </w:tcPr>
          <w:p>
            <w:pPr>
              <w:spacing w:after="0"/>
              <w:rPr>
                <w:sz w:val="11"/>
                <w:szCs w:val="11"/>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220" w:type="dxa"/>
            <w:vAlign w:val="bottom"/>
          </w:tcPr>
          <w:p>
            <w:pPr>
              <w:spacing w:after="0"/>
              <w:rPr>
                <w:sz w:val="11"/>
                <w:szCs w:val="11"/>
                <w:color w:val="auto"/>
              </w:rPr>
            </w:pP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20" w:type="dxa"/>
            <w:vAlign w:val="bottom"/>
          </w:tcPr>
          <w:p>
            <w:pPr>
              <w:spacing w:after="0"/>
              <w:rPr>
                <w:sz w:val="11"/>
                <w:szCs w:val="11"/>
                <w:color w:val="auto"/>
              </w:rPr>
            </w:pP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bl>
    <w:p>
      <w:pPr>
        <w:spacing w:after="0" w:line="51" w:lineRule="exact"/>
        <w:rPr>
          <w:sz w:val="20"/>
          <w:szCs w:val="20"/>
          <w:color w:val="auto"/>
        </w:rPr>
      </w:pPr>
    </w:p>
    <w:p>
      <w:pPr>
        <w:sectPr>
          <w:pgSz w:w="11900" w:h="16838" w:orient="portrait"/>
          <w:cols w:equalWidth="0" w:num="1">
            <w:col w:w="10159"/>
          </w:cols>
          <w:pgMar w:left="300" w:top="388" w:right="1440" w:bottom="1440" w:gutter="0" w:footer="0" w:header="0"/>
        </w:sectPr>
      </w:pPr>
    </w:p>
    <w:tbl>
      <w:tblPr>
        <w:tblLayout w:type="fixed"/>
        <w:tblInd w:w="132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406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Amended and Restated Certificate of Incorporation of the Registrant, as</w:t>
              </w:r>
            </w:hyperlink>
          </w:p>
        </w:tc>
      </w:tr>
      <w:tr>
        <w:trPr>
          <w:trHeight w:val="150"/>
        </w:trPr>
        <w:tc>
          <w:tcPr>
            <w:tcW w:w="780" w:type="dxa"/>
            <w:vAlign w:val="bottom"/>
          </w:tcPr>
          <w:p>
            <w:pPr>
              <w:spacing w:after="0"/>
              <w:rPr>
                <w:sz w:val="13"/>
                <w:szCs w:val="13"/>
                <w:color w:val="auto"/>
              </w:rPr>
            </w:pPr>
          </w:p>
        </w:tc>
        <w:tc>
          <w:tcPr>
            <w:tcW w:w="4060" w:type="dxa"/>
            <w:vAlign w:val="bottom"/>
            <w:gridSpan w:val="5"/>
          </w:tcPr>
          <w:p>
            <w:pPr>
              <w:spacing w:after="0" w:line="150"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amended.</w:t>
              </w:r>
            </w:hyperlink>
          </w:p>
        </w:tc>
      </w:tr>
      <w:tr>
        <w:trPr>
          <w:trHeight w:val="20"/>
        </w:trPr>
        <w:tc>
          <w:tcPr>
            <w:tcW w:w="7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390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Certificate of Amendment to the Registrant’s Amended and Restated</w:t>
              </w:r>
            </w:hyperlink>
          </w:p>
        </w:tc>
        <w:tc>
          <w:tcPr>
            <w:tcW w:w="160" w:type="dxa"/>
            <w:vAlign w:val="bottom"/>
          </w:tcPr>
          <w:p>
            <w:pPr>
              <w:spacing w:after="0"/>
              <w:rPr>
                <w:sz w:val="20"/>
                <w:szCs w:val="20"/>
                <w:color w:val="auto"/>
              </w:rPr>
            </w:pPr>
          </w:p>
        </w:tc>
      </w:tr>
      <w:tr>
        <w:trPr>
          <w:trHeight w:val="150"/>
        </w:trPr>
        <w:tc>
          <w:tcPr>
            <w:tcW w:w="780" w:type="dxa"/>
            <w:vAlign w:val="bottom"/>
          </w:tcPr>
          <w:p>
            <w:pPr>
              <w:spacing w:after="0"/>
              <w:rPr>
                <w:sz w:val="13"/>
                <w:szCs w:val="13"/>
                <w:color w:val="auto"/>
              </w:rPr>
            </w:pPr>
          </w:p>
        </w:tc>
        <w:tc>
          <w:tcPr>
            <w:tcW w:w="230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Certificate of Incorporation, as amended</w:t>
              </w:r>
            </w:hyperlink>
          </w:p>
        </w:tc>
        <w:tc>
          <w:tcPr>
            <w:tcW w:w="1760" w:type="dxa"/>
            <w:vAlign w:val="bottom"/>
            <w:gridSpan w:val="3"/>
          </w:tcPr>
          <w:p>
            <w:pPr>
              <w:spacing w:after="0"/>
              <w:rPr>
                <w:sz w:val="13"/>
                <w:szCs w:val="13"/>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4060" w:type="dxa"/>
            <w:vAlign w:val="bottom"/>
            <w:gridSpan w:val="5"/>
          </w:tcPr>
          <w:p>
            <w:pPr>
              <w:spacing w:after="0"/>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Amended and Restated Bylaws of the Registrant</w:t>
              </w:r>
            </w:hyperlink>
            <w:r>
              <w:rPr>
                <w:rFonts w:ascii="Times New Roman" w:cs="Times New Roman" w:eastAsia="Times New Roman" w:hAnsi="Times New Roman"/>
                <w:sz w:val="14"/>
                <w:szCs w:val="14"/>
                <w:color w:val="000000"/>
              </w:rPr>
              <w:t>.</w:t>
            </w:r>
          </w:p>
        </w:tc>
      </w:tr>
      <w:tr>
        <w:trPr>
          <w:trHeight w:val="20"/>
        </w:trPr>
        <w:tc>
          <w:tcPr>
            <w:tcW w:w="7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hanging="61"/>
        <w:spacing w:after="0"/>
        <w:tabs>
          <w:tab w:leader="none" w:pos="1380" w:val="left"/>
        </w:tabs>
        <w:numPr>
          <w:ilvl w:val="0"/>
          <w:numId w:val="1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2"/>
          <w:szCs w:val="12"/>
          <w:color w:val="auto"/>
        </w:rPr>
        <w:t>  4.1</w:t>
      </w:r>
      <w:hyperlink r:id="rId81">
        <w:r>
          <w:rPr>
            <w:rFonts w:ascii="Times New Roman" w:cs="Times New Roman" w:eastAsia="Times New Roman" w:hAnsi="Times New Roman"/>
            <w:sz w:val="14"/>
            <w:szCs w:val="14"/>
            <w:u w:val="single" w:color="auto"/>
            <w:color w:val="0000EE"/>
          </w:rPr>
          <w:t>Form of Pre-Funded Warrant to Purchase Common Stock.</w:t>
        </w:r>
      </w:hyperlink>
    </w:p>
    <w:p>
      <w:pPr>
        <w:spacing w:after="0" w:line="93" w:lineRule="exact"/>
        <w:rPr>
          <w:rFonts w:ascii="Times New Roman" w:cs="Times New Roman" w:eastAsia="Times New Roman" w:hAnsi="Times New Roman"/>
          <w:sz w:val="14"/>
          <w:szCs w:val="14"/>
          <w:u w:val="single" w:color="auto"/>
          <w:color w:val="0000EE"/>
        </w:rPr>
      </w:pPr>
    </w:p>
    <w:p>
      <w:pPr>
        <w:ind w:left="1380" w:hanging="61"/>
        <w:spacing w:after="0"/>
        <w:tabs>
          <w:tab w:leader="none" w:pos="1380" w:val="left"/>
        </w:tabs>
        <w:numPr>
          <w:ilvl w:val="0"/>
          <w:numId w:val="19"/>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2"/>
          <w:szCs w:val="12"/>
          <w:color w:val="auto"/>
        </w:rPr>
        <w:t>  4.2</w:t>
      </w:r>
      <w:hyperlink r:id="rId82">
        <w:r>
          <w:rPr>
            <w:rFonts w:ascii="Times New Roman" w:cs="Times New Roman" w:eastAsia="Times New Roman" w:hAnsi="Times New Roman"/>
            <w:sz w:val="14"/>
            <w:szCs w:val="14"/>
            <w:u w:val="single" w:color="auto"/>
            <w:color w:val="0000EE"/>
          </w:rPr>
          <w:t>Form of Warrant to Purchase Common Stock.</w:t>
        </w:r>
      </w:hyperlink>
    </w:p>
    <w:p>
      <w:pPr>
        <w:spacing w:after="0" w:line="125" w:lineRule="exact"/>
        <w:rPr>
          <w:rFonts w:ascii="Times New Roman" w:cs="Times New Roman" w:eastAsia="Times New Roman" w:hAnsi="Times New Roman"/>
          <w:sz w:val="12"/>
          <w:szCs w:val="12"/>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br w:type="column"/>
      </w:r>
    </w:p>
    <w:p>
      <w:pPr>
        <w:spacing w:after="0" w:line="158" w:lineRule="exact"/>
        <w:rPr>
          <w:rFonts w:ascii="Times New Roman" w:cs="Times New Roman" w:eastAsia="Times New Roman" w:hAnsi="Times New Roman"/>
          <w:sz w:val="12"/>
          <w:szCs w:val="12"/>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0"/>
              </w:rPr>
              <w:t>10-Q</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001-38327</w:t>
            </w: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12, 2025</w:t>
            </w:r>
          </w:p>
        </w:tc>
      </w:tr>
      <w:tr>
        <w:trPr>
          <w:trHeight w:val="424"/>
        </w:trPr>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001-38327</w:t>
            </w: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22, 2026</w:t>
            </w:r>
          </w:p>
        </w:tc>
      </w:tr>
      <w:tr>
        <w:trPr>
          <w:trHeight w:val="254"/>
        </w:trPr>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S-1</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333-220550</w:t>
            </w: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5, 2017</w:t>
            </w:r>
          </w:p>
        </w:tc>
      </w:tr>
      <w:tr>
        <w:trPr>
          <w:trHeight w:val="254"/>
        </w:trPr>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001-38327</w:t>
            </w: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4.2</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 2026</w:t>
            </w:r>
          </w:p>
        </w:tc>
      </w:tr>
      <w:tr>
        <w:trPr>
          <w:trHeight w:val="254"/>
        </w:trPr>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001-38327</w:t>
            </w: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 2026</w:t>
            </w:r>
          </w:p>
        </w:tc>
      </w:tr>
    </w:tbl>
    <w:p>
      <w:pPr>
        <w:sectPr>
          <w:pgSz w:w="11900" w:h="16838" w:orient="portrait"/>
          <w:cols w:equalWidth="0" w:num="2">
            <w:col w:w="6160" w:space="340"/>
            <w:col w:w="3659"/>
          </w:cols>
          <w:pgMar w:left="300" w:top="388"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36"/>
        </w:trPr>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77"/>
        </w:trPr>
        <w:tc>
          <w:tcPr>
            <w:tcW w:w="4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300" w:type="dxa"/>
            <w:vAlign w:val="bottom"/>
          </w:tcPr>
          <w:p>
            <w:pPr>
              <w:spacing w:after="0"/>
              <w:rPr>
                <w:sz w:val="11"/>
                <w:szCs w:val="11"/>
                <w:color w:val="auto"/>
              </w:rPr>
            </w:pPr>
          </w:p>
        </w:tc>
        <w:tc>
          <w:tcPr>
            <w:tcW w:w="4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220" w:type="dxa"/>
            <w:vAlign w:val="bottom"/>
          </w:tcPr>
          <w:p>
            <w:pPr>
              <w:spacing w:after="0"/>
              <w:rPr>
                <w:sz w:val="11"/>
                <w:szCs w:val="11"/>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22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0" w:type="dxa"/>
            <w:vAlign w:val="bottom"/>
          </w:tcPr>
          <w:p>
            <w:pPr>
              <w:spacing w:after="0"/>
              <w:rPr>
                <w:sz w:val="11"/>
                <w:szCs w:val="11"/>
                <w:color w:val="auto"/>
              </w:rPr>
            </w:pP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300" w:type="dxa"/>
            <w:vAlign w:val="bottom"/>
          </w:tcPr>
          <w:p>
            <w:pPr>
              <w:spacing w:after="0"/>
              <w:rPr>
                <w:sz w:val="18"/>
                <w:szCs w:val="18"/>
                <w:color w:val="auto"/>
              </w:rPr>
            </w:pPr>
          </w:p>
        </w:tc>
        <w:tc>
          <w:tcPr>
            <w:tcW w:w="4500" w:type="dxa"/>
            <w:vAlign w:val="bottom"/>
            <w:gridSpan w:val="3"/>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Specimen Certificate representing shares of common stock of the Registrant</w:t>
              </w:r>
            </w:hyperlink>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333-220550</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126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December 5, 2017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hanging="61"/>
        <w:spacing w:after="0"/>
        <w:tabs>
          <w:tab w:leader="none" w:pos="13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5.1*</w:t>
      </w:r>
      <w:r>
        <w:rPr>
          <w:rFonts w:ascii="Times New Roman" w:cs="Times New Roman" w:eastAsia="Times New Roman" w:hAnsi="Times New Roman"/>
          <w:sz w:val="13"/>
          <w:szCs w:val="13"/>
          <w:u w:val="single" w:color="auto"/>
          <w:color w:val="0000EE"/>
        </w:rPr>
        <w:t>Opinion of Cooley LLP.</w:t>
      </w:r>
    </w:p>
    <w:p>
      <w:pPr>
        <w:spacing w:after="0" w:line="104" w:lineRule="exact"/>
        <w:rPr>
          <w:rFonts w:ascii="Times New Roman" w:cs="Times New Roman" w:eastAsia="Times New Roman" w:hAnsi="Times New Roman"/>
          <w:sz w:val="12"/>
          <w:szCs w:val="12"/>
          <w:color w:val="auto"/>
        </w:rPr>
      </w:pPr>
    </w:p>
    <w:p>
      <w:pPr>
        <w:ind w:left="1380" w:hanging="61"/>
        <w:spacing w:after="0"/>
        <w:tabs>
          <w:tab w:leader="none" w:pos="1380" w:val="left"/>
        </w:tabs>
        <w:numPr>
          <w:ilvl w:val="0"/>
          <w:numId w:val="20"/>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2"/>
          <w:szCs w:val="12"/>
          <w:color w:val="auto"/>
        </w:rPr>
        <w:t>10.1</w:t>
      </w:r>
      <w:hyperlink r:id="rId85">
        <w:r>
          <w:rPr>
            <w:rFonts w:ascii="Times New Roman" w:cs="Times New Roman" w:eastAsia="Times New Roman" w:hAnsi="Times New Roman"/>
            <w:sz w:val="14"/>
            <w:szCs w:val="14"/>
            <w:u w:val="single" w:color="auto"/>
            <w:color w:val="0000EE"/>
          </w:rPr>
          <w:t>Form of Securities Purchase Agreement, dated April 30, 2026, by and</w:t>
        </w:r>
      </w:hyperlink>
    </w:p>
    <w:tbl>
      <w:tblPr>
        <w:tblLayout w:type="fixed"/>
        <w:tblInd w:w="2020" w:type="dxa"/>
        <w:tblCellMar>
          <w:top w:w="0" w:type="dxa"/>
          <w:left w:w="0" w:type="dxa"/>
          <w:bottom w:w="0" w:type="dxa"/>
          <w:right w:w="0" w:type="dxa"/>
        </w:tblCellMar>
      </w:tblPr>
      <w:tr>
        <w:trPr>
          <w:trHeight w:val="161"/>
        </w:trPr>
        <w:tc>
          <w:tcPr>
            <w:tcW w:w="3600" w:type="dxa"/>
            <w:vAlign w:val="bottom"/>
            <w:gridSpan w:val="2"/>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among Cue Biopharma, Inc. and the Investors</w:t>
              </w:r>
              <w:r>
                <w:rPr>
                  <w:rFonts w:ascii="Times New Roman" w:cs="Times New Roman" w:eastAsia="Times New Roman" w:hAnsi="Times New Roman"/>
                  <w:sz w:val="14"/>
                  <w:szCs w:val="14"/>
                  <w:color w:val="000000"/>
                </w:rPr>
                <w:t>.</w:t>
              </w:r>
            </w:hyperlink>
          </w:p>
        </w:tc>
        <w:tc>
          <w:tcPr>
            <w:tcW w:w="14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001-38327</w:t>
            </w: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10.3</w:t>
            </w: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May 1, 2026</w:t>
            </w:r>
          </w:p>
        </w:tc>
      </w:tr>
      <w:tr>
        <w:trPr>
          <w:trHeight w:val="20"/>
        </w:trPr>
        <w:tc>
          <w:tcPr>
            <w:tcW w:w="26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hanging="61"/>
        <w:spacing w:after="0"/>
        <w:tabs>
          <w:tab w:leader="none" w:pos="1380" w:val="left"/>
        </w:tabs>
        <w:numPr>
          <w:ilvl w:val="0"/>
          <w:numId w:val="21"/>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2"/>
          <w:szCs w:val="12"/>
          <w:color w:val="auto"/>
        </w:rPr>
        <w:t>10.2</w:t>
      </w:r>
      <w:hyperlink r:id="rId86">
        <w:r>
          <w:rPr>
            <w:rFonts w:ascii="Times New Roman" w:cs="Times New Roman" w:eastAsia="Times New Roman" w:hAnsi="Times New Roman"/>
            <w:sz w:val="14"/>
            <w:szCs w:val="14"/>
            <w:u w:val="single" w:color="auto"/>
            <w:color w:val="0000EE"/>
          </w:rPr>
          <w:t>Form of Registration Rights Agreement, dated April 30, 2026, by and</w:t>
        </w:r>
      </w:hyperlink>
    </w:p>
    <w:tbl>
      <w:tblPr>
        <w:tblLayout w:type="fixed"/>
        <w:tblInd w:w="2020" w:type="dxa"/>
        <w:tblCellMar>
          <w:top w:w="0" w:type="dxa"/>
          <w:left w:w="0" w:type="dxa"/>
          <w:bottom w:w="0" w:type="dxa"/>
          <w:right w:w="0" w:type="dxa"/>
        </w:tblCellMar>
      </w:tblPr>
      <w:tr>
        <w:trPr>
          <w:trHeight w:val="161"/>
        </w:trPr>
        <w:tc>
          <w:tcPr>
            <w:tcW w:w="3600" w:type="dxa"/>
            <w:vAlign w:val="bottom"/>
            <w:gridSpan w:val="2"/>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among Cue Biopharma, Inc. and the Investors</w:t>
              </w:r>
              <w:r>
                <w:rPr>
                  <w:rFonts w:ascii="Times New Roman" w:cs="Times New Roman" w:eastAsia="Times New Roman" w:hAnsi="Times New Roman"/>
                  <w:sz w:val="14"/>
                  <w:szCs w:val="14"/>
                  <w:color w:val="000000"/>
                </w:rPr>
                <w:t>.</w:t>
              </w:r>
            </w:hyperlink>
          </w:p>
        </w:tc>
        <w:tc>
          <w:tcPr>
            <w:tcW w:w="14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001-38327</w:t>
            </w: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10.4</w:t>
            </w: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May 1, 2026</w:t>
            </w:r>
          </w:p>
        </w:tc>
      </w:tr>
      <w:tr>
        <w:trPr>
          <w:trHeight w:val="20"/>
        </w:trPr>
        <w:tc>
          <w:tcPr>
            <w:tcW w:w="26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hanging="61"/>
        <w:spacing w:after="0"/>
        <w:tabs>
          <w:tab w:leader="none" w:pos="13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23.1*</w:t>
      </w:r>
      <w:r>
        <w:rPr>
          <w:rFonts w:ascii="Times New Roman" w:cs="Times New Roman" w:eastAsia="Times New Roman" w:hAnsi="Times New Roman"/>
          <w:sz w:val="14"/>
          <w:szCs w:val="14"/>
          <w:u w:val="single" w:color="auto"/>
          <w:color w:val="0000EE"/>
        </w:rPr>
        <w:t>Consent of independent registered public accounting firm.</w:t>
      </w:r>
    </w:p>
    <w:p>
      <w:pPr>
        <w:spacing w:after="0" w:line="93" w:lineRule="exact"/>
        <w:rPr>
          <w:rFonts w:ascii="Times New Roman" w:cs="Times New Roman" w:eastAsia="Times New Roman" w:hAnsi="Times New Roman"/>
          <w:sz w:val="12"/>
          <w:szCs w:val="12"/>
          <w:color w:val="auto"/>
        </w:rPr>
      </w:pPr>
    </w:p>
    <w:p>
      <w:pPr>
        <w:ind w:left="1380" w:hanging="61"/>
        <w:spacing w:after="0"/>
        <w:tabs>
          <w:tab w:leader="none" w:pos="13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23.2*</w:t>
      </w:r>
      <w:r>
        <w:rPr>
          <w:rFonts w:ascii="Times New Roman" w:cs="Times New Roman" w:eastAsia="Times New Roman" w:hAnsi="Times New Roman"/>
          <w:sz w:val="14"/>
          <w:szCs w:val="14"/>
          <w:u w:val="single" w:color="auto"/>
          <w:color w:val="0000EE"/>
        </w:rPr>
        <w:t>Consent of Cooley LLP (included in Exhibit 5.1).</w:t>
      </w:r>
    </w:p>
    <w:p>
      <w:pPr>
        <w:spacing w:after="0" w:line="93" w:lineRule="exact"/>
        <w:rPr>
          <w:rFonts w:ascii="Times New Roman" w:cs="Times New Roman" w:eastAsia="Times New Roman" w:hAnsi="Times New Roman"/>
          <w:sz w:val="12"/>
          <w:szCs w:val="12"/>
          <w:color w:val="auto"/>
        </w:rPr>
      </w:pPr>
    </w:p>
    <w:p>
      <w:pPr>
        <w:ind w:left="1380" w:hanging="61"/>
        <w:spacing w:after="0"/>
        <w:tabs>
          <w:tab w:leader="none" w:pos="13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24.1</w:t>
      </w:r>
      <w:r>
        <w:rPr>
          <w:rFonts w:ascii="Times New Roman" w:cs="Times New Roman" w:eastAsia="Times New Roman" w:hAnsi="Times New Roman"/>
          <w:sz w:val="14"/>
          <w:szCs w:val="14"/>
          <w:u w:val="single" w:color="auto"/>
          <w:color w:val="0000EE"/>
        </w:rPr>
        <w:t>Power of Attorney (included on signature page hereto).</w:t>
      </w:r>
    </w:p>
    <w:p>
      <w:pPr>
        <w:spacing w:after="0" w:line="93" w:lineRule="exact"/>
        <w:rPr>
          <w:rFonts w:ascii="Times New Roman" w:cs="Times New Roman" w:eastAsia="Times New Roman" w:hAnsi="Times New Roman"/>
          <w:sz w:val="12"/>
          <w:szCs w:val="12"/>
          <w:color w:val="auto"/>
        </w:rPr>
      </w:pPr>
    </w:p>
    <w:p>
      <w:pPr>
        <w:ind w:left="1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13"/>
          <w:szCs w:val="13"/>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81915</wp:posOffset>
            </wp:positionV>
            <wp:extent cx="60579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  Filed herewith.</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93" w:lineRule="exact"/>
        <w:rPr>
          <w:sz w:val="20"/>
          <w:szCs w:val="20"/>
          <w:color w:val="auto"/>
        </w:rPr>
      </w:pPr>
    </w:p>
    <w:p>
      <w:pPr>
        <w:ind w:left="1860" w:hanging="195"/>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3" w:lineRule="exact"/>
        <w:rPr>
          <w:rFonts w:ascii="Times New Roman" w:cs="Times New Roman" w:eastAsia="Times New Roman" w:hAnsi="Times New Roman"/>
          <w:sz w:val="14"/>
          <w:szCs w:val="14"/>
          <w:color w:val="auto"/>
        </w:rPr>
      </w:pPr>
    </w:p>
    <w:p>
      <w:pPr>
        <w:ind w:left="2260" w:hanging="162"/>
        <w:spacing w:after="0"/>
        <w:tabs>
          <w:tab w:leader="none" w:pos="22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78" w:lineRule="exact"/>
        <w:rPr>
          <w:rFonts w:ascii="Times New Roman" w:cs="Times New Roman" w:eastAsia="Times New Roman" w:hAnsi="Times New Roman"/>
          <w:sz w:val="14"/>
          <w:szCs w:val="14"/>
          <w:color w:val="auto"/>
        </w:rPr>
      </w:pPr>
    </w:p>
    <w:p>
      <w:pPr>
        <w:ind w:left="1320" w:right="199" w:firstLine="778"/>
        <w:spacing w:after="0" w:line="259" w:lineRule="auto"/>
        <w:tabs>
          <w:tab w:leader="none" w:pos="2306"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4" w:lineRule="exact"/>
        <w:rPr>
          <w:rFonts w:ascii="Times New Roman" w:cs="Times New Roman" w:eastAsia="Times New Roman" w:hAnsi="Times New Roman"/>
          <w:sz w:val="14"/>
          <w:szCs w:val="14"/>
          <w:color w:val="auto"/>
        </w:rPr>
      </w:pPr>
    </w:p>
    <w:p>
      <w:pPr>
        <w:ind w:left="1320" w:right="419" w:firstLine="778"/>
        <w:spacing w:after="0" w:line="286" w:lineRule="auto"/>
        <w:tabs>
          <w:tab w:leader="none" w:pos="2346"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Provided, however, that paragraphs (1)(i), (1)(ii) and (1)(iii) do not apply if the information required to be included in a post-effective amendment by those paragraphs is contained in reports filed with or furnished to the SEC by the registrant pursuant to Section 13 or 15(d) of the Exchange Act that are incorporated by reference in the registration statement, or is contained in a form of prospectus filed pursuant to Rule 424(b) that is part of the registration statement.</w:t>
      </w:r>
    </w:p>
    <w:p>
      <w:pPr>
        <w:spacing w:after="0" w:line="140" w:lineRule="exact"/>
        <w:rPr>
          <w:sz w:val="20"/>
          <w:szCs w:val="20"/>
          <w:color w:val="auto"/>
        </w:rPr>
      </w:pPr>
    </w:p>
    <w:p>
      <w:pPr>
        <w:ind w:left="1320" w:right="299" w:firstLine="345"/>
        <w:spacing w:after="0" w:line="269" w:lineRule="auto"/>
        <w:tabs>
          <w:tab w:leader="none" w:pos="186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699" w:firstLine="345"/>
        <w:spacing w:after="0" w:line="286" w:lineRule="auto"/>
        <w:tabs>
          <w:tab w:leader="none" w:pos="186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5" w:lineRule="exact"/>
        <w:rPr>
          <w:rFonts w:ascii="Times New Roman" w:cs="Times New Roman" w:eastAsia="Times New Roman" w:hAnsi="Times New Roman"/>
          <w:sz w:val="14"/>
          <w:szCs w:val="14"/>
          <w:color w:val="auto"/>
        </w:rPr>
      </w:pPr>
    </w:p>
    <w:p>
      <w:pPr>
        <w:ind w:left="1860" w:hanging="195"/>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3" w:lineRule="exact"/>
        <w:rPr>
          <w:rFonts w:ascii="Times New Roman" w:cs="Times New Roman" w:eastAsia="Times New Roman" w:hAnsi="Times New Roman"/>
          <w:sz w:val="14"/>
          <w:szCs w:val="14"/>
          <w:color w:val="auto"/>
        </w:rPr>
      </w:pPr>
    </w:p>
    <w:p>
      <w:pPr>
        <w:ind w:left="1320" w:right="259" w:firstLine="778"/>
        <w:spacing w:after="0" w:line="286" w:lineRule="auto"/>
        <w:tabs>
          <w:tab w:leader="none" w:pos="226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5" w:lineRule="exact"/>
        <w:rPr>
          <w:rFonts w:ascii="Times New Roman" w:cs="Times New Roman" w:eastAsia="Times New Roman" w:hAnsi="Times New Roman"/>
          <w:sz w:val="14"/>
          <w:szCs w:val="14"/>
          <w:color w:val="auto"/>
        </w:rPr>
      </w:pPr>
    </w:p>
    <w:p>
      <w:pPr>
        <w:ind w:left="1320" w:right="239" w:firstLine="778"/>
        <w:spacing w:after="0" w:line="256" w:lineRule="auto"/>
        <w:tabs>
          <w:tab w:leader="none" w:pos="2306"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6" w:lineRule="exact"/>
        <w:rPr>
          <w:rFonts w:ascii="Times New Roman" w:cs="Times New Roman" w:eastAsia="Times New Roman" w:hAnsi="Times New Roman"/>
          <w:sz w:val="14"/>
          <w:szCs w:val="14"/>
          <w:color w:val="auto"/>
        </w:rPr>
      </w:pPr>
    </w:p>
    <w:p>
      <w:pPr>
        <w:ind w:left="1320" w:right="259" w:firstLine="345"/>
        <w:spacing w:after="0" w:line="264" w:lineRule="auto"/>
        <w:tabs>
          <w:tab w:leader="none" w:pos="186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40" w:lineRule="exact"/>
        <w:rPr>
          <w:sz w:val="20"/>
          <w:szCs w:val="20"/>
          <w:color w:val="auto"/>
        </w:rPr>
      </w:pPr>
    </w:p>
    <w:p>
      <w:pPr>
        <w:ind w:left="1320" w:right="299" w:firstLine="346"/>
        <w:spacing w:after="0" w:line="25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ind w:left="1320" w:right="339" w:firstLine="346"/>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Boston, Commonwealth of Massachusetts on June 3, 2026.</w:t>
      </w:r>
    </w:p>
    <w:p>
      <w:pPr>
        <w:spacing w:after="0" w:line="144" w:lineRule="exact"/>
        <w:rPr>
          <w:sz w:val="20"/>
          <w:szCs w:val="20"/>
          <w:color w:val="auto"/>
        </w:rPr>
      </w:pPr>
    </w:p>
    <w:tbl>
      <w:tblPr>
        <w:tblLayout w:type="fixed"/>
        <w:tblInd w:w="652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Cue Biopharma, Inc.</w:t>
            </w:r>
          </w:p>
        </w:tc>
      </w:tr>
      <w:tr>
        <w:trPr>
          <w:trHeight w:val="33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Shao-Lee Lin, M.D., Ph.D.</w:t>
            </w:r>
          </w:p>
        </w:tc>
      </w:tr>
      <w:tr>
        <w:trPr>
          <w:trHeight w:val="146"/>
        </w:trPr>
        <w:tc>
          <w:tcPr>
            <w:tcW w:w="4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color w:val="auto"/>
              </w:rPr>
              <w:t>Shao-Lee Lin, M.D., Ph.D.</w:t>
            </w:r>
          </w:p>
        </w:tc>
      </w:tr>
      <w:tr>
        <w:trPr>
          <w:trHeight w:val="18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3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0" w:lineRule="exact"/>
        <w:rPr>
          <w:sz w:val="20"/>
          <w:szCs w:val="20"/>
          <w:color w:val="auto"/>
        </w:rPr>
      </w:pPr>
    </w:p>
    <w:p>
      <w:pPr>
        <w:ind w:left="1320" w:right="259" w:firstLine="346"/>
        <w:spacing w:after="0" w:line="257"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Shao-Lee Lin, M.D., Ph.D., and Sumita Ray, J.D.,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45"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4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9"/>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Shao-Lee Lin, M.D., Ph.D.</w:t>
            </w:r>
          </w:p>
        </w:tc>
        <w:tc>
          <w:tcPr>
            <w:tcW w:w="100" w:type="dxa"/>
            <w:vAlign w:val="bottom"/>
          </w:tcPr>
          <w:p>
            <w:pPr>
              <w:spacing w:after="0"/>
              <w:rPr>
                <w:sz w:val="24"/>
                <w:szCs w:val="24"/>
                <w:color w:val="auto"/>
              </w:rPr>
            </w:pPr>
          </w:p>
        </w:tc>
        <w:tc>
          <w:tcPr>
            <w:tcW w:w="3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President and Chief Executive Officer and 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35"/>
        </w:trPr>
        <w:tc>
          <w:tcPr>
            <w:tcW w:w="3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Shao-Lee Lin, M.D., Ph.D.</w:t>
            </w:r>
          </w:p>
        </w:tc>
        <w:tc>
          <w:tcPr>
            <w:tcW w:w="100" w:type="dxa"/>
            <w:vAlign w:val="bottom"/>
          </w:tcPr>
          <w:p>
            <w:pPr>
              <w:spacing w:after="0"/>
              <w:rPr>
                <w:sz w:val="11"/>
                <w:szCs w:val="11"/>
                <w:color w:val="auto"/>
              </w:rPr>
            </w:pPr>
          </w:p>
        </w:tc>
        <w:tc>
          <w:tcPr>
            <w:tcW w:w="3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(Principal Executive Officer and Interim Principal</w:t>
            </w:r>
          </w:p>
        </w:tc>
        <w:tc>
          <w:tcPr>
            <w:tcW w:w="1460" w:type="dxa"/>
            <w:vAlign w:val="bottom"/>
          </w:tcPr>
          <w:p>
            <w:pPr>
              <w:spacing w:after="0"/>
              <w:rPr>
                <w:sz w:val="11"/>
                <w:szCs w:val="11"/>
                <w:color w:val="auto"/>
              </w:rPr>
            </w:pPr>
          </w:p>
        </w:tc>
      </w:tr>
      <w:tr>
        <w:trPr>
          <w:trHeight w:val="184"/>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Financial Officer)</w:t>
            </w:r>
          </w:p>
        </w:tc>
        <w:tc>
          <w:tcPr>
            <w:tcW w:w="1460" w:type="dxa"/>
            <w:vAlign w:val="bottom"/>
          </w:tcPr>
          <w:p>
            <w:pPr>
              <w:spacing w:after="0"/>
              <w:rPr>
                <w:sz w:val="15"/>
                <w:szCs w:val="15"/>
                <w:color w:val="auto"/>
              </w:rPr>
            </w:pPr>
          </w:p>
        </w:tc>
      </w:tr>
      <w:tr>
        <w:trPr>
          <w:trHeight w:val="350"/>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Meluzio</w:t>
            </w:r>
          </w:p>
        </w:tc>
        <w:tc>
          <w:tcPr>
            <w:tcW w:w="100" w:type="dxa"/>
            <w:vAlign w:val="bottom"/>
          </w:tcPr>
          <w:p>
            <w:pPr>
              <w:spacing w:after="0"/>
              <w:rPr>
                <w:sz w:val="24"/>
                <w:szCs w:val="24"/>
                <w:color w:val="auto"/>
              </w:rPr>
            </w:pPr>
          </w:p>
        </w:tc>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Vice President, Principal Accounting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Meluzio</w:t>
            </w:r>
          </w:p>
        </w:tc>
        <w:tc>
          <w:tcPr>
            <w:tcW w:w="100" w:type="dxa"/>
            <w:vAlign w:val="bottom"/>
          </w:tcPr>
          <w:p>
            <w:pPr>
              <w:spacing w:after="0"/>
              <w:rPr>
                <w:sz w:val="15"/>
                <w:szCs w:val="15"/>
                <w:color w:val="auto"/>
              </w:rPr>
            </w:pPr>
          </w:p>
        </w:tc>
        <w:tc>
          <w:tcPr>
            <w:tcW w:w="3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60" w:type="dxa"/>
            <w:vAlign w:val="bottom"/>
          </w:tcPr>
          <w:p>
            <w:pPr>
              <w:spacing w:after="0"/>
              <w:rPr>
                <w:sz w:val="15"/>
                <w:szCs w:val="15"/>
                <w:color w:val="auto"/>
              </w:rPr>
            </w:pPr>
          </w:p>
        </w:tc>
      </w:tr>
      <w:tr>
        <w:trPr>
          <w:trHeight w:val="33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Pasha Sarraf, M.D., Ph.D.</w:t>
            </w:r>
          </w:p>
        </w:tc>
        <w:tc>
          <w:tcPr>
            <w:tcW w:w="100" w:type="dxa"/>
            <w:vAlign w:val="bottom"/>
          </w:tcPr>
          <w:p>
            <w:pPr>
              <w:spacing w:after="0"/>
              <w:rPr>
                <w:sz w:val="24"/>
                <w:szCs w:val="24"/>
                <w:color w:val="auto"/>
              </w:rPr>
            </w:pPr>
          </w:p>
        </w:tc>
        <w:tc>
          <w:tcPr>
            <w:tcW w:w="3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Chairman of the Board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Pasha Sarraf, M.D., Ph.D.</w:t>
            </w: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Camardo</w:t>
            </w:r>
          </w:p>
        </w:tc>
        <w:tc>
          <w:tcPr>
            <w:tcW w:w="100" w:type="dxa"/>
            <w:vAlign w:val="bottom"/>
          </w:tcPr>
          <w:p>
            <w:pPr>
              <w:spacing w:after="0"/>
              <w:rPr>
                <w:sz w:val="24"/>
                <w:szCs w:val="24"/>
                <w:color w:val="auto"/>
              </w:rPr>
            </w:pPr>
          </w:p>
        </w:tc>
        <w:tc>
          <w:tcPr>
            <w:tcW w:w="3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Camardo</w:t>
            </w: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Pamela D. Garzone</w:t>
            </w:r>
          </w:p>
        </w:tc>
        <w:tc>
          <w:tcPr>
            <w:tcW w:w="100" w:type="dxa"/>
            <w:vAlign w:val="bottom"/>
          </w:tcPr>
          <w:p>
            <w:pPr>
              <w:spacing w:after="0"/>
              <w:rPr>
                <w:sz w:val="24"/>
                <w:szCs w:val="24"/>
                <w:color w:val="auto"/>
              </w:rPr>
            </w:pPr>
          </w:p>
        </w:tc>
        <w:tc>
          <w:tcPr>
            <w:tcW w:w="3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Pamela D. Garzone</w:t>
            </w: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Viola Meehan</w:t>
            </w:r>
          </w:p>
        </w:tc>
        <w:tc>
          <w:tcPr>
            <w:tcW w:w="100" w:type="dxa"/>
            <w:vAlign w:val="bottom"/>
          </w:tcPr>
          <w:p>
            <w:pPr>
              <w:spacing w:after="0"/>
              <w:rPr>
                <w:sz w:val="24"/>
                <w:szCs w:val="24"/>
                <w:color w:val="auto"/>
              </w:rPr>
            </w:pPr>
          </w:p>
        </w:tc>
        <w:tc>
          <w:tcPr>
            <w:tcW w:w="3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3,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Viola Meehan</w:t>
            </w: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82"/>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II-5</w:t>
            </w:r>
          </w:p>
        </w:tc>
        <w:tc>
          <w:tcPr>
            <w:tcW w:w="1460" w:type="dxa"/>
            <w:vAlign w:val="bottom"/>
          </w:tcPr>
          <w:p>
            <w:pPr>
              <w:spacing w:after="0"/>
              <w:rPr>
                <w:sz w:val="24"/>
                <w:szCs w:val="24"/>
                <w:color w:val="auto"/>
              </w:rPr>
            </w:pPr>
          </w:p>
        </w:tc>
      </w:tr>
    </w:tbl>
    <w:p>
      <w:pPr>
        <w:sectPr>
          <w:pgSz w:w="11900" w:h="16838" w:orient="portrait"/>
          <w:cols w:equalWidth="0" w:num="1">
            <w:col w:w="10159"/>
          </w:cols>
          <w:pgMar w:left="300" w:top="388" w:right="1440" w:bottom="1440" w:gutter="0" w:footer="0" w:header="0"/>
        </w:sectPr>
      </w:pPr>
    </w:p>
    <w:bookmarkStart w:id="38" w:name="page39"/>
    <w:bookmarkEnd w:id="38"/>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1028065</wp:posOffset>
            </wp:positionH>
            <wp:positionV relativeFrom="page">
              <wp:posOffset>88900</wp:posOffset>
            </wp:positionV>
            <wp:extent cx="922020" cy="302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922020" cy="302895"/>
                    </a:xfrm>
                    <a:prstGeom prst="rect">
                      <a:avLst/>
                    </a:prstGeom>
                    <a:noFill/>
                  </pic:spPr>
                </pic:pic>
              </a:graphicData>
            </a:graphic>
          </wp:anchor>
        </w:drawing>
        <w:t>Exhibit 5.1</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Courtney M.W. Tygesson</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+1 312 881 6680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ctygesson@cooley.com</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June 3, 2026</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Cue Biopharma, Inc.</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40 Guest Street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Boston, MA 02135</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We have acted as counsel to Cue Biopharma,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including a related prospectus included in the Registration Statement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covering the registration for resale of up to 4,090,908 shares of the Company’s common stock, par value $0.001 per share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consisting of (a) up to 2,727,272 shares (the “</w:t>
      </w:r>
      <w:r>
        <w:rPr>
          <w:rFonts w:ascii="Times New Roman" w:cs="Times New Roman" w:eastAsia="Times New Roman" w:hAnsi="Times New Roman"/>
          <w:sz w:val="14"/>
          <w:szCs w:val="14"/>
          <w:b w:val="1"/>
          <w:bCs w:val="1"/>
          <w:i w:val="1"/>
          <w:iCs w:val="1"/>
          <w:color w:val="auto"/>
        </w:rPr>
        <w:t>Pre-Funded Warrant Shares</w:t>
      </w:r>
      <w:r>
        <w:rPr>
          <w:rFonts w:ascii="Times New Roman" w:cs="Times New Roman" w:eastAsia="Times New Roman" w:hAnsi="Times New Roman"/>
          <w:sz w:val="14"/>
          <w:szCs w:val="14"/>
          <w:color w:val="auto"/>
        </w:rPr>
        <w:t>”) issuable upon the exercise of pre-funded warrants to purchase shares of Common Stock (the “</w:t>
      </w:r>
      <w:r>
        <w:rPr>
          <w:rFonts w:ascii="Times New Roman" w:cs="Times New Roman" w:eastAsia="Times New Roman" w:hAnsi="Times New Roman"/>
          <w:sz w:val="14"/>
          <w:szCs w:val="14"/>
          <w:b w:val="1"/>
          <w:bCs w:val="1"/>
          <w:i w:val="1"/>
          <w:iCs w:val="1"/>
          <w:color w:val="auto"/>
        </w:rPr>
        <w:t>Pre-Funded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and (b) up to 1,363,636 shares (together with the Pre-Funded Warrant Shares, the “</w:t>
      </w:r>
      <w:r>
        <w:rPr>
          <w:rFonts w:ascii="Times New Roman" w:cs="Times New Roman" w:eastAsia="Times New Roman" w:hAnsi="Times New Roman"/>
          <w:sz w:val="14"/>
          <w:szCs w:val="14"/>
          <w:b w:val="1"/>
          <w:bCs w:val="1"/>
          <w:i w:val="1"/>
          <w:iCs w:val="1"/>
          <w:color w:val="auto"/>
        </w:rPr>
        <w:t>Warrant Shares</w:t>
      </w:r>
      <w:r>
        <w:rPr>
          <w:rFonts w:ascii="Times New Roman" w:cs="Times New Roman" w:eastAsia="Times New Roman" w:hAnsi="Times New Roman"/>
          <w:sz w:val="14"/>
          <w:szCs w:val="14"/>
          <w:color w:val="auto"/>
        </w:rPr>
        <w:t>”) of Common Stock issuable upon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exercise of warrants to purchase shares of Common Stock (together with the Pre-Funded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The Warrants were issued by the Company pursuant to that certain Securities Purchase Agreement, dated April 30, 2026, by and between the Company and the investors named therein (the “</w:t>
      </w:r>
      <w:r>
        <w:rPr>
          <w:rFonts w:ascii="Times New Roman" w:cs="Times New Roman" w:eastAsia="Times New Roman" w:hAnsi="Times New Roman"/>
          <w:sz w:val="14"/>
          <w:szCs w:val="14"/>
          <w:b w:val="1"/>
          <w:bCs w:val="1"/>
          <w:i w:val="1"/>
          <w:iCs w:val="1"/>
          <w:color w:val="auto"/>
        </w:rPr>
        <w:t>Purchase Agreement</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80" w:right="199"/>
        <w:spacing w:after="0" w:line="258"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the Prospectus, the Company’s certificate of incorporation and bylaws, each as currently in effect, the Purchase Agreement, the forms of the Warrants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45" w:lineRule="exact"/>
        <w:rPr>
          <w:sz w:val="20"/>
          <w:szCs w:val="20"/>
          <w:color w:val="auto"/>
        </w:rPr>
      </w:pPr>
    </w:p>
    <w:p>
      <w:pPr>
        <w:ind w:left="180" w:right="279"/>
        <w:spacing w:after="0" w:line="269" w:lineRule="auto"/>
        <w:rPr>
          <w:sz w:val="20"/>
          <w:szCs w:val="20"/>
          <w:color w:val="auto"/>
        </w:rPr>
      </w:pPr>
      <w:r>
        <w:rPr>
          <w:rFonts w:ascii="Times New Roman" w:cs="Times New Roman" w:eastAsia="Times New Roman" w:hAnsi="Times New Roman"/>
          <w:sz w:val="14"/>
          <w:szCs w:val="14"/>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w:t>
      </w:r>
    </w:p>
    <w:p>
      <w:pPr>
        <w:spacing w:after="0" w:line="137" w:lineRule="exact"/>
        <w:rPr>
          <w:sz w:val="20"/>
          <w:szCs w:val="20"/>
          <w:color w:val="auto"/>
        </w:rPr>
      </w:pPr>
    </w:p>
    <w:p>
      <w:pPr>
        <w:ind w:left="180" w:right="379"/>
        <w:spacing w:after="0" w:line="269" w:lineRule="auto"/>
        <w:rPr>
          <w:sz w:val="20"/>
          <w:szCs w:val="20"/>
          <w:color w:val="auto"/>
        </w:rPr>
      </w:pPr>
      <w:r>
        <w:rPr>
          <w:rFonts w:ascii="Times New Roman" w:cs="Times New Roman" w:eastAsia="Times New Roman" w:hAnsi="Times New Roman"/>
          <w:sz w:val="14"/>
          <w:szCs w:val="14"/>
          <w:color w:val="auto"/>
        </w:rPr>
        <w:t>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w:t>
      </w:r>
    </w:p>
    <w:p>
      <w:pPr>
        <w:spacing w:after="0" w:line="137" w:lineRule="exact"/>
        <w:rPr>
          <w:sz w:val="20"/>
          <w:szCs w:val="20"/>
          <w:color w:val="auto"/>
        </w:rPr>
      </w:pPr>
    </w:p>
    <w:p>
      <w:pPr>
        <w:ind w:left="180" w:right="419"/>
        <w:spacing w:after="0" w:line="286" w:lineRule="auto"/>
        <w:rPr>
          <w:sz w:val="20"/>
          <w:szCs w:val="20"/>
          <w:color w:val="auto"/>
        </w:rPr>
      </w:pPr>
      <w:r>
        <w:rPr>
          <w:rFonts w:ascii="Times New Roman" w:cs="Times New Roman" w:eastAsia="Times New Roman" w:hAnsi="Times New Roman"/>
          <w:sz w:val="14"/>
          <w:szCs w:val="14"/>
          <w:color w:val="auto"/>
        </w:rPr>
        <w:t>On the basis of the foregoing, and in reliance thereon, we are of the opinion that the Warrant Shares, when issued and paid for in accordance with the terms of the applicable Warrants, will be validly issued, fully paid and nonassessable.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110 North Wacker, Suite 4200    Chicago, Illinois 60606</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ectPr>
          <w:pgSz w:w="11900" w:h="16838" w:orient="portrait"/>
          <w:cols w:equalWidth="0" w:num="1">
            <w:col w:w="9019"/>
          </w:cols>
          <w:pgMar w:left="1440" w:top="769" w:right="1440" w:bottom="1440" w:gutter="0" w:footer="0" w:header="0"/>
        </w:sectPr>
      </w:pPr>
    </w:p>
    <w:bookmarkStart w:id="39" w:name="page40"/>
    <w:bookmarkEnd w:id="39"/>
    <w:p>
      <w:pPr>
        <w:ind w:left="1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1028065</wp:posOffset>
            </wp:positionH>
            <wp:positionV relativeFrom="page">
              <wp:posOffset>163195</wp:posOffset>
            </wp:positionV>
            <wp:extent cx="922020" cy="302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922020" cy="302895"/>
                    </a:xfrm>
                    <a:prstGeom prst="rect">
                      <a:avLst/>
                    </a:prstGeom>
                    <a:noFill/>
                  </pic:spPr>
                </pic:pic>
              </a:graphicData>
            </a:graphic>
          </wp:anchor>
        </w:drawing>
        <w:t>Cue Biopharma, Inc.</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June 3, 2026</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Page Two</w:t>
      </w:r>
    </w:p>
    <w:p>
      <w:pPr>
        <w:spacing w:after="0" w:line="164" w:lineRule="exact"/>
        <w:rPr>
          <w:sz w:val="20"/>
          <w:szCs w:val="20"/>
          <w:color w:val="auto"/>
        </w:rPr>
      </w:pPr>
    </w:p>
    <w:p>
      <w:pPr>
        <w:ind w:left="180" w:right="219"/>
        <w:spacing w:after="0" w:line="264" w:lineRule="auto"/>
        <w:rPr>
          <w:sz w:val="20"/>
          <w:szCs w:val="20"/>
          <w:color w:val="auto"/>
        </w:rPr>
      </w:pPr>
      <w:r>
        <w:rPr>
          <w:rFonts w:ascii="Times New Roman" w:cs="Times New Roman" w:eastAsia="Times New Roman" w:hAnsi="Times New Roman"/>
          <w:sz w:val="14"/>
          <w:szCs w:val="14"/>
          <w:color w:val="auto"/>
        </w:rPr>
        <w:t>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40"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14"/>
          <w:szCs w:val="14"/>
          <w:color w:val="auto"/>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Cooley LLP</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By: /s/ Courtney M.W. Tygesson</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Courtney M.W. Tygesson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-101600</wp:posOffset>
            </wp:positionV>
            <wp:extent cx="203962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2039620" cy="698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110 North Wacker, Suite 4200   Chicago, Illinois 60606</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ectPr>
          <w:pgSz w:w="11900" w:h="16838" w:orient="portrait"/>
          <w:cols w:equalWidth="0" w:num="1">
            <w:col w:w="9019"/>
          </w:cols>
          <w:pgMar w:left="1440" w:top="888" w:right="1440" w:bottom="1440" w:gutter="0" w:footer="0" w:header="0"/>
        </w:sectPr>
      </w:pPr>
    </w:p>
    <w:bookmarkStart w:id="40" w:name="page41"/>
    <w:bookmarkEnd w:id="40"/>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0" w:lineRule="exact"/>
        <w:rPr>
          <w:sz w:val="20"/>
          <w:szCs w:val="20"/>
          <w:color w:val="auto"/>
        </w:rPr>
      </w:pPr>
    </w:p>
    <w:p>
      <w:pPr>
        <w:jc w:val="both"/>
        <w:ind w:left="180" w:right="419"/>
        <w:spacing w:after="0" w:line="269"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and related Prospectus of Cue Biopharma, Inc. of our report dated March 16, 2026, relating to the consolidated financial statements of Cue Biopharma, Inc and its subsidiary, appearing in the Annual Report on Form 10-K of Cue Biopharma, Inc. for the year ended December 31, 2025.</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 also consent to the reference to our firm under the heading “Experts” in such Prospectus.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RSM US LLP</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June 3, 2026</w:t>
      </w:r>
    </w:p>
    <w:p>
      <w:pPr>
        <w:sectPr>
          <w:pgSz w:w="11900" w:h="16838" w:orient="portrait"/>
          <w:cols w:equalWidth="0" w:num="1">
            <w:col w:w="9019"/>
          </w:cols>
          <w:pgMar w:left="1440" w:top="123" w:right="1440" w:bottom="1440" w:gutter="0" w:footer="0" w:header="0"/>
        </w:sectPr>
      </w:pPr>
    </w:p>
    <w:bookmarkStart w:id="41" w:name="page42"/>
    <w:bookmarkEnd w:id="41"/>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Cue Biopharma,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ind w:left="140"/>
              <w:spacing w:after="0" w:line="117" w:lineRule="exact"/>
              <w:rPr>
                <w:sz w:val="20"/>
                <w:szCs w:val="20"/>
                <w:color w:val="auto"/>
              </w:rPr>
            </w:pPr>
            <w:r>
              <w:rPr>
                <w:rFonts w:ascii="Arial" w:cs="Arial" w:eastAsia="Arial" w:hAnsi="Arial"/>
                <w:sz w:val="13"/>
                <w:szCs w:val="13"/>
                <w:b w:val="1"/>
                <w:bCs w:val="1"/>
                <w:color w:val="auto"/>
              </w:rPr>
              <w:t>Class</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8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80"/>
              <w:spacing w:after="0" w:line="170"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4,090,908</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8"/>
              </w:rPr>
              <w:t>$ 20.49</w:t>
            </w: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$ 11,575.92</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83,822,704.92</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$ 11,575.92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83,822,704.92</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$ 11,575.92</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20" w:hanging="183"/>
        <w:spacing w:after="0" w:line="232" w:lineRule="auto"/>
        <w:tabs>
          <w:tab w:leader="none" w:pos="220" w:val="left"/>
        </w:tabs>
        <w:numPr>
          <w:ilvl w:val="0"/>
          <w:numId w:val="26"/>
        </w:numPr>
        <w:rPr>
          <w:rFonts w:ascii="Arial" w:cs="Arial" w:eastAsia="Arial" w:hAnsi="Arial"/>
          <w:sz w:val="21"/>
          <w:szCs w:val="21"/>
          <w:color w:val="auto"/>
          <w:vertAlign w:val="superscript"/>
        </w:rPr>
      </w:pPr>
      <w:r>
        <w:rPr>
          <w:rFonts w:ascii="Arial" w:cs="Arial" w:eastAsia="Arial" w:hAnsi="Arial"/>
          <w:sz w:val="17"/>
          <w:szCs w:val="17"/>
          <w:color w:val="auto"/>
        </w:rPr>
        <w:t>(a) Consists of an aggregate of up to 4,090,908 shares of the Registrant's common stock, par value $0.001 per share, issued by the Registrant in a private placement on May 4, 2026, consisting of (i) 2,727,272 shares of common stock issuable upon the exercise of outstanding pre-funded warrants to purchase shares of common stock held by the selling stockholders and (ii) 1,363,636 shares of common stock issuable upon the exercise of outstanding warrants to purchase shares of common stock held by the selling stockholders. Pursuant to Rule 416 under the Securities Act of 1933, as amended, the shares of common stock being registered hereunder include such indeterminate number of shares of common stock as may be issuable with respect to the shares of common stock being registered hereunder as a result of stock splits, stock dividends or similar transactions. (b) Pursuant to Rule 457(c) under the Securities Act, calculated on the basis of the average of the high and low prices per share of common stock reported on The Nasdaq Capital Market on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62865</wp:posOffset>
            </wp:positionV>
            <wp:extent cx="714692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54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50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8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3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5"/>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6"/>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6"/>
            <w:shd w:val="clear" w:color="auto" w:fill="9ADAF6"/>
          </w:tcPr>
          <w:p>
            <w:pPr>
              <w:jc w:val="center"/>
              <w:ind w:left="275"/>
              <w:spacing w:after="0"/>
              <w:rPr>
                <w:sz w:val="20"/>
                <w:szCs w:val="20"/>
                <w:color w:val="auto"/>
              </w:rPr>
            </w:pPr>
            <w:r>
              <w:rPr>
                <w:rFonts w:ascii="Arial" w:cs="Arial" w:eastAsia="Arial" w:hAnsi="Arial"/>
                <w:sz w:val="17"/>
                <w:szCs w:val="17"/>
                <w:b w:val="1"/>
                <w:bCs w:val="1"/>
                <w:color w:val="auto"/>
              </w:rPr>
              <w:t>Amount of</w:t>
            </w: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5"/>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5"/>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restart"/>
            <w:shd w:val="clear" w:color="auto" w:fill="9ADAF6"/>
          </w:tcPr>
          <w:p>
            <w:pPr>
              <w:jc w:val="center"/>
              <w:ind w:left="275"/>
              <w:spacing w:after="0" w:line="191" w:lineRule="exact"/>
              <w:rPr>
                <w:sz w:val="20"/>
                <w:szCs w:val="20"/>
                <w:color w:val="auto"/>
              </w:rPr>
            </w:pPr>
            <w:r>
              <w:rPr>
                <w:rFonts w:ascii="Arial" w:cs="Arial" w:eastAsia="Arial" w:hAnsi="Arial"/>
                <w:sz w:val="17"/>
                <w:szCs w:val="17"/>
                <w:b w:val="1"/>
                <w:bCs w:val="1"/>
                <w:color w:val="auto"/>
                <w:w w:val="99"/>
              </w:rPr>
              <w:t>Previously</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5"/>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7"/>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5"/>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7"/>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3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617"/>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19"/>
    </w:lvl>
  </w:abstractNum>
  <w:abstractNum w:abstractNumId="8">
    <w:nsid w:val="519B500D"/>
    <w:multiLevelType w:val="hybridMultilevel"/>
    <w:lvl w:ilvl="0">
      <w:lvlJc w:val="left"/>
      <w:lvlText w:val="(%1)"/>
      <w:numFmt w:val="decimal"/>
      <w:start w:val="30"/>
    </w:lvl>
  </w:abstractNum>
  <w:abstractNum w:abstractNumId="9">
    <w:nsid w:val="431BD7B7"/>
    <w:multiLevelType w:val="hybridMultilevel"/>
    <w:lvl w:ilvl="0">
      <w:lvlJc w:val="left"/>
      <w:lvlText w:val="(%1)"/>
      <w:numFmt w:val="decimal"/>
      <w:start w:val="42"/>
    </w:lvl>
  </w:abstractNum>
  <w:abstractNum w:abstractNumId="10">
    <w:nsid w:val="3F2DBA31"/>
    <w:multiLevelType w:val="hybridMultilevel"/>
    <w:lvl w:ilvl="0">
      <w:lvlJc w:val="left"/>
      <w:lvlText w:val="(%1)"/>
      <w:numFmt w:val="decimal"/>
      <w:start w:val="53"/>
    </w:lvl>
  </w:abstractNum>
  <w:abstractNum w:abstractNumId="11">
    <w:nsid w:val="7C83E458"/>
    <w:multiLevelType w:val="hybridMultilevel"/>
    <w:lvl w:ilvl="0">
      <w:lvlJc w:val="left"/>
      <w:lvlText w:val="(%1)"/>
      <w:numFmt w:val="decimal"/>
      <w:start w:val="65"/>
    </w:lvl>
  </w:abstractNum>
  <w:abstractNum w:abstractNumId="12">
    <w:nsid w:val="257130A3"/>
    <w:multiLevelType w:val="hybridMultilevel"/>
    <w:lvl w:ilvl="0">
      <w:lvlJc w:val="left"/>
      <w:lvlText w:val="(%1)"/>
      <w:numFmt w:val="decimal"/>
      <w:start w:val="77"/>
    </w:lvl>
  </w:abstractNum>
  <w:abstractNum w:abstractNumId="13">
    <w:nsid w:val="62BBD95A"/>
    <w:multiLevelType w:val="hybridMultilevel"/>
    <w:lvl w:ilvl="0">
      <w:lvlJc w:val="left"/>
      <w:lvlText w:val="(%1)"/>
      <w:numFmt w:val="decimal"/>
      <w:start w:val="88"/>
    </w:lvl>
  </w:abstractNum>
  <w:abstractNum w:abstractNumId="14">
    <w:nsid w:val="436C6125"/>
    <w:multiLevelType w:val="hybridMultilevel"/>
    <w:lvl w:ilvl="0">
      <w:lvlJc w:val="left"/>
      <w:lvlText w:val="(%1)"/>
      <w:numFmt w:val="decimal"/>
      <w:start w:val="97"/>
    </w:lvl>
  </w:abstractNum>
  <w:abstractNum w:abstractNumId="15">
    <w:nsid w:val="628C895D"/>
    <w:multiLevelType w:val="hybridMultilevel"/>
    <w:lvl w:ilvl="0">
      <w:lvlJc w:val="left"/>
      <w:lvlText w:val="(%1)"/>
      <w:numFmt w:val="decimal"/>
      <w:start w:val="108"/>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
      <w:numFmt w:val="bullet"/>
      <w:start w:val="1"/>
    </w:lvl>
  </w:abstractNum>
  <w:abstractNum w:abstractNumId="19">
    <w:nsid w:val="2D1D5AE9"/>
    <w:multiLevelType w:val="hybridMultilevel"/>
    <w:lvl w:ilvl="0">
      <w:lvlJc w:val="left"/>
      <w:lvlText w:val=" "/>
      <w:numFmt w:val="bullet"/>
      <w:start w:val="1"/>
    </w:lvl>
  </w:abstractNum>
  <w:abstractNum w:abstractNumId="20">
    <w:nsid w:val="6763845E"/>
    <w:multiLevelType w:val="hybridMultilevel"/>
    <w:lvl w:ilvl="0">
      <w:lvlJc w:val="left"/>
      <w:lvlText w:val=" "/>
      <w:numFmt w:val="bullet"/>
      <w:start w:val="1"/>
    </w:lvl>
  </w:abstractNum>
  <w:abstractNum w:abstractNumId="21">
    <w:nsid w:val="75A2A8D4"/>
    <w:multiLevelType w:val="hybridMultilevel"/>
    <w:lvl w:ilvl="0">
      <w:lvlJc w:val="left"/>
      <w:lvlText w:val=" "/>
      <w:numFmt w:val="bullet"/>
      <w:start w:val="1"/>
    </w:lvl>
  </w:abstractNum>
  <w:abstractNum w:abstractNumId="22">
    <w:nsid w:val="8EDBDAB"/>
    <w:multiLevelType w:val="hybridMultilevel"/>
    <w:lvl w:ilvl="0">
      <w:lvlJc w:val="left"/>
      <w:lvlText w:val="(%1)"/>
      <w:numFmt w:val="decimal"/>
      <w:start w:val="1"/>
    </w:lvl>
    <w:lvl w:ilvl="1">
      <w:lvlJc w:val="left"/>
      <w:lvlText w:val="(%2)"/>
      <w:numFmt w:val="lowerRoman"/>
      <w:start w:val="1"/>
    </w:lvl>
  </w:abstractNum>
  <w:abstractNum w:abstractNumId="23">
    <w:nsid w:val="79838CB2"/>
    <w:multiLevelType w:val="hybridMultilevel"/>
    <w:lvl w:ilvl="0">
      <w:lvlJc w:val="left"/>
      <w:lvlText w:val="(%1)"/>
      <w:numFmt w:val="decimal"/>
      <w:start w:val="2"/>
    </w:lvl>
  </w:abstractNum>
  <w:abstractNum w:abstractNumId="24">
    <w:nsid w:val="4353D0CD"/>
    <w:multiLevelType w:val="hybridMultilevel"/>
    <w:lvl w:ilvl="0">
      <w:lvlJc w:val="left"/>
      <w:lvlText w:val="(%1)"/>
      <w:numFmt w:val="decimal"/>
      <w:start w:val="3"/>
    </w:lvl>
    <w:lvl w:ilvl="1">
      <w:lvlJc w:val="left"/>
      <w:lvlText w:val="(%2)"/>
      <w:numFmt w:val="lowerRoman"/>
      <w:start w:val="1"/>
    </w:lvl>
  </w:abstractNum>
  <w:abstractNum w:abstractNumId="25">
    <w:nsid w:val="B03E0C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jpe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83"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jpeg"/><Relationship Id="rId91" Type="http://schemas.openxmlformats.org/officeDocument/2006/relationships/image" Target="media/image67.png"/><Relationship Id="rId92" Type="http://schemas.openxmlformats.org/officeDocument/2006/relationships/image" Target="media/image68.jpeg"/><Relationship Id="rId93" Type="http://schemas.openxmlformats.org/officeDocument/2006/relationships/image" Target="media/image69.png"/><Relationship Id="rId94" Type="http://schemas.openxmlformats.org/officeDocument/2006/relationships/image" Target="media/image70.png"/><Relationship Id="rId59" Type="http://schemas.openxmlformats.org/officeDocument/2006/relationships/hyperlink" Target="http://www.sec.gov/ix?doc=/Archives/edgar/data/0001645460/000119312526108287/cue-20251231.htm" TargetMode="External"/><Relationship Id="rId60" Type="http://schemas.openxmlformats.org/officeDocument/2006/relationships/hyperlink" Target="http://www.sec.gov/ix?doc=/Archives/edgar/data/0001645460/000119312526108301/cue-20260316.htm" TargetMode="External"/><Relationship Id="rId61" Type="http://schemas.openxmlformats.org/officeDocument/2006/relationships/hyperlink" Target="http://www.sec.gov/ix?doc=/Archives/edgar/data/0001645460/000119312526224091/cue-20260331.htm" TargetMode="External"/><Relationship Id="rId62" Type="http://schemas.openxmlformats.org/officeDocument/2006/relationships/hyperlink" Target="http://www.sec.gov/ix?doc=/Archives/edgar/data/0001645460/000119312526152826/cue-20260413.htm" TargetMode="External"/><Relationship Id="rId63" Type="http://schemas.openxmlformats.org/officeDocument/2006/relationships/hyperlink" Target="http://www.sec.gov/ix?doc=/Archives/edgar/data/0001645460/000119312526168907/cue-20260422.htm" TargetMode="External"/><Relationship Id="rId64" Type="http://schemas.openxmlformats.org/officeDocument/2006/relationships/hyperlink" Target="http://www.sec.gov/ix?doc=/Archives/edgar/data/0001645460/000119312526198588/d128047d8k.htm" TargetMode="External"/><Relationship Id="rId65" Type="http://schemas.openxmlformats.org/officeDocument/2006/relationships/hyperlink" Target="http://www.sec.gov/ix?doc=/Archives/edgar/data/0001645460/000119312526253709/d139032d8k.htm" TargetMode="External"/><Relationship Id="rId66" Type="http://schemas.openxmlformats.org/officeDocument/2006/relationships/hyperlink" Target="http://www.sec.gov/Archives/edgar/data/1645460/000114420417063474/tv481277_8a12b.htm" TargetMode="External"/><Relationship Id="rId67" Type="http://schemas.openxmlformats.org/officeDocument/2006/relationships/hyperlink" Target="http://www.sec.gov/Archives/edgar/data/1645460/000119312526108287/cue-ex4_2.htm" TargetMode="External"/><Relationship Id="rId78" Type="http://schemas.openxmlformats.org/officeDocument/2006/relationships/hyperlink" Target="http://www.sec.gov/Archives/edgar/data/1645460/000156459020052490/cue-ex31_253.htm" TargetMode="External"/><Relationship Id="rId79" Type="http://schemas.openxmlformats.org/officeDocument/2006/relationships/hyperlink" Target="http://www.sec.gov/Archives/edgar/data/1645460/000119312526168907/cue-ex3_1.htm" TargetMode="External"/><Relationship Id="rId80" Type="http://schemas.openxmlformats.org/officeDocument/2006/relationships/hyperlink" Target="http://www.sec.gov/Archives/edgar/data/1645460/000157104917008632/t1703106_ex3-5.htm" TargetMode="External"/><Relationship Id="rId81" Type="http://schemas.openxmlformats.org/officeDocument/2006/relationships/hyperlink" Target="http://www.sec.gov/Archives/edgar/data/1645460/000119312526198588/d128047dex42.htm" TargetMode="External"/><Relationship Id="rId82" Type="http://schemas.openxmlformats.org/officeDocument/2006/relationships/hyperlink" Target="http://www.sec.gov/Archives/edgar/data/1645460/000119312526198588/d128047dex43.htm" TargetMode="External"/><Relationship Id="rId84" Type="http://schemas.openxmlformats.org/officeDocument/2006/relationships/hyperlink" Target="http://www.sec.gov/Archives/edgar/data/1645460/000157104917008632/t1703106_ex4-1.htm" TargetMode="External"/><Relationship Id="rId85" Type="http://schemas.openxmlformats.org/officeDocument/2006/relationships/hyperlink" Target="http://www.sec.gov/Archives/edgar/data/1645460/000119312526198588/d128047dex103.htm" TargetMode="External"/><Relationship Id="rId86" Type="http://schemas.openxmlformats.org/officeDocument/2006/relationships/hyperlink" Target="http://www.sec.gov/Archives/edgar/data/1645460/000119312526198588/d128047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2026-06-03T15:11:22Z</dcterms:created>
  <dcterms:modified xsi:type="dcterms:W3CDTF">2026-06-03T15:11:22Z</dcterms:modified>
</cp:coreProperties>
</file>