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6967ds3.htm"/>
        <w:bookmarkStart w:id="1" w:name="ksd136967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August 12,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8"/>
        </w:rPr>
      </w:pPr>
      <w:r>
        <w:rPr>
          <w:rFonts w:ascii="Times New Roman" w:hAnsi="Times New Roman"/>
          <w:b/>
          <w:sz w:val="28"/>
        </w:rPr>
        <w:t>FORM S-3</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4"/>
        </w:rPr>
      </w:pPr>
      <w:r>
        <w:rPr>
          <w:rFonts w:ascii="Times New Roman" w:hAnsi="Times New Roman"/>
          <w:b/>
          <w:sz w:val="34"/>
        </w:rPr>
        <w:t xml:space="preserve">CUE BIOPHARMA,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47-3324577</w:t>
            </w:r>
          </w:p>
        </w:tc>
      </w:tr>
      <w:tr>
        <w:trPr/>
        <w:tc>
          <w:tcPr>
            <w:tcW w:w="5154"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120" w:after="0"/>
        <w:jc w:val="center"/>
        <w:rPr>
          <w:rFonts w:ascii="Times New Roman" w:hAnsi="Times New Roman"/>
          <w:b/>
          <w:sz w:val="16"/>
        </w:rPr>
      </w:pPr>
      <w:r>
        <w:rPr>
          <w:rFonts w:ascii="Times New Roman" w:hAnsi="Times New Roman"/>
          <w:b/>
          <w:sz w:val="16"/>
        </w:rPr>
        <w:t xml:space="preserve">40 Guest Street </w:t>
      </w:r>
    </w:p>
    <w:p>
      <w:pPr>
        <w:pStyle w:val="TextBody"/>
        <w:bidi w:val="0"/>
        <w:spacing w:before="0" w:after="0"/>
        <w:jc w:val="center"/>
        <w:rPr>
          <w:rFonts w:ascii="Times New Roman" w:hAnsi="Times New Roman"/>
          <w:b/>
          <w:sz w:val="16"/>
        </w:rPr>
      </w:pPr>
      <w:r>
        <w:rPr>
          <w:rFonts w:ascii="Times New Roman" w:hAnsi="Times New Roman"/>
          <w:b/>
          <w:sz w:val="16"/>
        </w:rPr>
        <w:t xml:space="preserve">Boston, Massachusetts 02135 </w:t>
      </w:r>
    </w:p>
    <w:p>
      <w:pPr>
        <w:pStyle w:val="TextBody"/>
        <w:bidi w:val="0"/>
        <w:spacing w:before="0" w:after="0"/>
        <w:jc w:val="center"/>
        <w:rPr>
          <w:rFonts w:ascii="Times New Roman" w:hAnsi="Times New Roman"/>
          <w:b/>
          <w:sz w:val="16"/>
        </w:rPr>
      </w:pPr>
      <w:r>
        <w:rPr>
          <w:rFonts w:ascii="Times New Roman" w:hAnsi="Times New Roman"/>
          <w:b/>
          <w:sz w:val="16"/>
        </w:rPr>
        <w:t>(617) 949-2680</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Shao-Lee Lin </w:t>
      </w:r>
    </w:p>
    <w:p>
      <w:pPr>
        <w:pStyle w:val="TextBody"/>
        <w:bidi w:val="0"/>
        <w:spacing w:before="0" w:after="0"/>
        <w:jc w:val="center"/>
        <w:rPr>
          <w:rFonts w:ascii="Times New Roman" w:hAnsi="Times New Roman"/>
          <w:b/>
          <w:sz w:val="16"/>
        </w:rPr>
      </w:pPr>
      <w:r>
        <w:rPr>
          <w:rFonts w:ascii="Times New Roman" w:hAnsi="Times New Roman"/>
          <w:b/>
          <w:sz w:val="16"/>
        </w:rPr>
        <w:t xml:space="preserve">President and 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Cue Biopharma, Inc. </w:t>
      </w:r>
    </w:p>
    <w:p>
      <w:pPr>
        <w:pStyle w:val="TextBody"/>
        <w:bidi w:val="0"/>
        <w:spacing w:before="0" w:after="0"/>
        <w:jc w:val="center"/>
        <w:rPr>
          <w:rFonts w:ascii="Times New Roman" w:hAnsi="Times New Roman"/>
          <w:b/>
          <w:sz w:val="16"/>
        </w:rPr>
      </w:pPr>
      <w:r>
        <w:rPr>
          <w:rFonts w:ascii="Times New Roman" w:hAnsi="Times New Roman"/>
          <w:b/>
          <w:sz w:val="16"/>
        </w:rPr>
        <w:t xml:space="preserve">40 Guest Street </w:t>
      </w:r>
    </w:p>
    <w:p>
      <w:pPr>
        <w:pStyle w:val="TextBody"/>
        <w:bidi w:val="0"/>
        <w:spacing w:before="0" w:after="0"/>
        <w:jc w:val="center"/>
        <w:rPr>
          <w:rFonts w:ascii="Times New Roman" w:hAnsi="Times New Roman"/>
          <w:b/>
          <w:sz w:val="16"/>
        </w:rPr>
      </w:pPr>
      <w:r>
        <w:rPr>
          <w:rFonts w:ascii="Times New Roman" w:hAnsi="Times New Roman"/>
          <w:b/>
          <w:sz w:val="16"/>
        </w:rPr>
        <w:t xml:space="preserve">Boston, Massachusetts 02135 </w:t>
      </w:r>
    </w:p>
    <w:p>
      <w:pPr>
        <w:pStyle w:val="TextBody"/>
        <w:bidi w:val="0"/>
        <w:spacing w:before="0" w:after="0"/>
        <w:jc w:val="center"/>
        <w:rPr>
          <w:rFonts w:ascii="Times New Roman" w:hAnsi="Times New Roman"/>
          <w:b/>
          <w:sz w:val="16"/>
        </w:rPr>
      </w:pPr>
      <w:r>
        <w:rPr>
          <w:rFonts w:ascii="Times New Roman" w:hAnsi="Times New Roman"/>
          <w:b/>
          <w:sz w:val="16"/>
        </w:rPr>
        <w:t>(617) 949-2680</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40" w:after="0"/>
        <w:jc w:val="center"/>
        <w:rPr>
          <w:rFonts w:ascii="Times New Roman" w:hAnsi="Times New Roman"/>
          <w:b/>
          <w:sz w:val="16"/>
        </w:rPr>
      </w:pPr>
      <w:r>
        <w:rPr>
          <w:rFonts w:ascii="Times New Roman" w:hAnsi="Times New Roman"/>
          <w:b/>
          <w:sz w:val="16"/>
        </w:rPr>
        <w:t xml:space="preserve">Divakar Gupta </w:t>
      </w:r>
    </w:p>
    <w:p>
      <w:pPr>
        <w:pStyle w:val="TextBody"/>
        <w:bidi w:val="0"/>
        <w:spacing w:before="0" w:after="0"/>
        <w:jc w:val="center"/>
        <w:rPr>
          <w:rFonts w:ascii="Times New Roman" w:hAnsi="Times New Roman"/>
          <w:b/>
          <w:sz w:val="16"/>
        </w:rPr>
      </w:pPr>
      <w:r>
        <w:rPr>
          <w:rFonts w:ascii="Times New Roman" w:hAnsi="Times New Roman"/>
          <w:b/>
          <w:sz w:val="16"/>
        </w:rPr>
        <w:t xml:space="preserve">Sara Semnani </w:t>
      </w:r>
    </w:p>
    <w:p>
      <w:pPr>
        <w:pStyle w:val="TextBody"/>
        <w:bidi w:val="0"/>
        <w:spacing w:before="0" w:after="0"/>
        <w:jc w:val="center"/>
        <w:rPr>
          <w:rFonts w:ascii="Times New Roman" w:hAnsi="Times New Roman"/>
          <w:b/>
          <w:sz w:val="16"/>
        </w:rPr>
      </w:pPr>
      <w:r>
        <w:rPr>
          <w:rFonts w:ascii="Times New Roman" w:hAnsi="Times New Roman"/>
          <w:b/>
          <w:sz w:val="16"/>
        </w:rPr>
        <w:t xml:space="preserve">Courtney M.W. Tygesson </w:t>
      </w:r>
    </w:p>
    <w:p>
      <w:pPr>
        <w:pStyle w:val="TextBody"/>
        <w:bidi w:val="0"/>
        <w:spacing w:before="0" w:after="0"/>
        <w:jc w:val="center"/>
        <w:rPr>
          <w:rFonts w:ascii="Times New Roman" w:hAnsi="Times New Roman"/>
          <w:b/>
          <w:sz w:val="16"/>
        </w:rPr>
      </w:pPr>
      <w:r>
        <w:rPr>
          <w:rFonts w:ascii="Times New Roman" w:hAnsi="Times New Roman"/>
          <w:b/>
          <w:sz w:val="16"/>
        </w:rPr>
        <w:t xml:space="preserve">Cooley LLP </w:t>
      </w:r>
    </w:p>
    <w:p>
      <w:pPr>
        <w:pStyle w:val="TextBody"/>
        <w:bidi w:val="0"/>
        <w:spacing w:before="0" w:after="0"/>
        <w:jc w:val="center"/>
        <w:rPr>
          <w:rFonts w:ascii="Times New Roman" w:hAnsi="Times New Roman"/>
          <w:b/>
          <w:sz w:val="16"/>
        </w:rPr>
      </w:pPr>
      <w:r>
        <w:rPr>
          <w:rFonts w:ascii="Times New Roman" w:hAnsi="Times New Roman"/>
          <w:b/>
          <w:sz w:val="16"/>
        </w:rPr>
        <w:t xml:space="preserve">1333 2nd Street, Suite 400 </w:t>
      </w:r>
    </w:p>
    <w:p>
      <w:pPr>
        <w:pStyle w:val="TextBody"/>
        <w:bidi w:val="0"/>
        <w:spacing w:before="0" w:after="0"/>
        <w:jc w:val="center"/>
        <w:rPr>
          <w:rFonts w:ascii="Times New Roman" w:hAnsi="Times New Roman"/>
          <w:b/>
          <w:sz w:val="16"/>
        </w:rPr>
      </w:pPr>
      <w:r>
        <w:rPr>
          <w:rFonts w:ascii="Times New Roman" w:hAnsi="Times New Roman"/>
          <w:b/>
          <w:sz w:val="16"/>
        </w:rPr>
        <w:t xml:space="preserve">Santa Monica, CA 90401 </w:t>
      </w:r>
    </w:p>
    <w:p>
      <w:pPr>
        <w:pStyle w:val="TextBody"/>
        <w:bidi w:val="0"/>
        <w:spacing w:before="0" w:after="0"/>
        <w:jc w:val="center"/>
        <w:rPr>
          <w:rFonts w:ascii="Times New Roman" w:hAnsi="Times New Roman"/>
          <w:b/>
          <w:sz w:val="16"/>
        </w:rPr>
      </w:pPr>
      <w:r>
        <w:rPr>
          <w:rFonts w:ascii="Times New Roman" w:hAnsi="Times New Roman"/>
          <w:b/>
          <w:sz w:val="16"/>
        </w:rPr>
        <w:t>(310) 883-6400</w:t>
      </w:r>
    </w:p>
    <w:p>
      <w:pPr>
        <w:pStyle w:val="TextBody"/>
        <w:bidi w:val="0"/>
        <w:spacing w:before="0" w:after="0"/>
        <w:jc w:val="center"/>
        <w:rPr>
          <w:rFonts w:ascii="Times New Roman" w:hAnsi="Times New Roman"/>
          <w:b/>
          <w:sz w:val="16"/>
        </w:rPr>
      </w:pPr>
      <w:r>
        <w:rPr>
          <w:rFonts w:ascii="Times New Roman" w:hAnsi="Times New Roman"/>
          <w:b/>
          <w:sz w:val="16"/>
        </w:rPr>
        <w:t xml:space="preserve">From time to time after the effective date of this Registration Statement </w:t>
      </w:r>
    </w:p>
    <w:p>
      <w:pPr>
        <w:pStyle w:val="TextBody"/>
        <w:bidi w:val="0"/>
        <w:spacing w:before="0" w:after="0"/>
        <w:jc w:val="center"/>
        <w:rPr>
          <w:rFonts w:ascii="Times New Roman" w:hAnsi="Times New Roman"/>
          <w:b/>
          <w:sz w:val="14"/>
        </w:rPr>
      </w:pPr>
      <w:r>
        <w:rPr>
          <w:rFonts w:ascii="Times New Roman" w:hAnsi="Times New Roman"/>
          <w:b/>
          <w:sz w:val="14"/>
        </w:rPr>
        <w:t xml:space="preserve">(Approximate date of commencement of proposed sale to the public)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Securities and Exchange Commission pursuant to Rule 462(e)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75"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75" w:hRule="atLeast"/>
        </w:trPr>
        <w:tc>
          <w:tcPr>
            <w:tcW w:w="7078" w:type="dxa"/>
            <w:gridSpan w:val="3"/>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7078" w:type="dxa"/>
            <w:gridSpan w:val="3"/>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 selling stockholders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12,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1,505,570 Shares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365375" cy="902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5375" cy="90233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Offered by the Selling Stockholders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proposed resale from time to time of up to 1,505,570 shares, or the Shares, of our common stock, par value $0.001 per share, or the common stock, by the selling stockholders named herein, together with any additional selling stockholders listed in a prospectus supplement (together with any of such stockholders’ transferees, pledgees, donees or successors), which consist of (i) 1,418,070 shares of our common stock held by the selling stockholders, and (ii) 87,500 shares of our common stock issuable upon the exercise of outstanding pre-funded warrants, or the Pre-Funded Warrants, to purchase shares of our common stock held by the selling stockholders. We will not receive any proceeds from the sale of the shares offered by this prospectus, except the nominal exercise price of $0.001 per share of any of the Pre-Funded Warrants exercised for cash.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acquired the shares of common stock and Pre-Funded Warrants from us in a private placement transaction that closed on July 13, 2026, or the Private Placement. We are filing this Registration Statement on Form S-3, of which this prospectus forms a part, to fulfill our contractual obligations with the selling stockholders to provide for the resale by the selling stockholders of the Shares. See “Selling Stockholders” beginning on page 11 of this prospectus for more information about the selling stockholders. The registration of the Shares to which this prospectus relates does not require the selling stockholders to sell any of their Shares, including any shares of common stock issuable upon the exercise of Pre-Funded Warrants.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not offering any shares of our common stock under this prospectus and will not receive any proceeds from the sale or other disposition of the Shares covered hereby; however, we will receive nominal proceeds from the cash exercise of the Pre-Funded Warrants. See “Use of Proceeds” beginning on page 10 of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may offer and sell or otherwise dispose of the Shares described in this prospectus from time to time through public or private transactions at prevailing market prices, at prices related to prevailing market prices or at privately negotiated prices. The selling stockholders will bear all selling commissions applicable to the sales of Shares, any transfer taxes and all fees and expenses of legal counsel for the selling stockholders, subject to certain specified exceptions. We will bear all other costs, expenses and fees in connection with the registration of the Shares. See the section titled “Plan of Distribution” for more information about how the selling stockholders may sell or dispose of their Shares.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traded on the Nasdaq Capital Market under the symbol “CUE.” On August 11, 2026, the last reported sales price of our common stock was $28.24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i/>
          <w:sz w:val="24"/>
        </w:rPr>
        <w:t>Investing in our securities involves a high degree of risk. Before making an investment decision, you should review carefully the risks and uncertainties described under the heading “</w:t>
      </w:r>
      <w:hyperlink w:anchor="tx136967_4">
        <w:r>
          <w:rPr>
            <w:rStyle w:val="InternetLink"/>
            <w:rFonts w:ascii="Times New Roman" w:hAnsi="Times New Roman"/>
            <w:b/>
            <w:i/>
            <w:sz w:val="24"/>
          </w:rPr>
          <w:t>Risk Factors</w:t>
        </w:r>
      </w:hyperlink>
      <w:r>
        <w:rPr>
          <w:rFonts w:ascii="Times New Roman" w:hAnsi="Times New Roman"/>
          <w:b/>
          <w:i/>
          <w:sz w:val="24"/>
        </w:rPr>
        <w:t>” on page 7 of this prospectus as well as those contained in the applicable prospectus supplement and in any free writing prospectuses we may authorize for use in connection with a specific offering, and under similar headings in the other documents that are incorporated by reference into this prospectus.</w:t>
      </w:r>
      <w:r>
        <w:rPr>
          <w:rFonts w:ascii="Times New Roman" w:hAnsi="Times New Roman"/>
          <w:sz w:val="24"/>
        </w:rPr>
        <w:t xml:space="preserve">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3">
              <w:r>
                <w:rPr>
                  <w:rStyle w:val="InternetLink"/>
                  <w:rFonts w:ascii="Times New Roman" w:hAnsi="Times New Roman"/>
                  <w:sz w:val="20"/>
                </w:rPr>
                <w:t>THE OFFERING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5">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7">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8">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9">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10">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11">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36967_12">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36967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 registration statement on Form S-3 that we filed with the Securities and Exchange Commission, or the SEC, using a “shelf” registration process. Under this shelf registration process, the selling stockholders may from time to time sell the shares of common stock described in this prospectus in one or more offerings or otherwise as described under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be supplemented from time to time by one or more prospectus supplements. Such prospectus supplement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Additional Information” before deciding to invest in any shares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anyone to provide any information other than that contained or incorporated by reference in this prospectus or in any related prospectus supplement or any free writing prospectus that we have authorized. We take no responsibility for, and can provide no assurance as to the reliability of, any other information that others may give you. The Shares are not being offered in any jurisdiction where the offer is not permitted. You should not assume that the information contained in or incorporated by reference in this prospectus is accurate as of any date other than the respective dates of such document.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all references in this prospectus to “we,” “us,” “our,” “the company” and “Cue,” and similar designations, except where the context requires otherwise, refer collectively to Cue Biopharma, Inc. and its consolidated subsidiary. We own various U.S. federal trademark applications and unregistered trademarks, including our company name. All other trademarks or trade names referred to in this prospectus, including any relating to a selling stockholder,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136967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prospectus or incorporated by reference in this prospectus and does not contain all of the information that you need to consider in making your investment decision. You should carefully read the entire prospectus, including the risks of investing in our securities discussed under the heading “Risk Factors” and under similar headings in our SEC filings, including the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the context requires otherwise, references in this prospectus to “Cue,” “the company,” “we,” “us,” “our” or similar terms refer to Cue Biopharma, Inc. and its consolidated subsidiary.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advancing a portfolio of potentially transformative therapies aimed at enabling functional cures across immunological disorders. Our lead asset, CUE-221, is a novel humanized anti-IgE monoclonal antibody with a dual-mechanism of action currently in Phase 2 development for allergic diseases. In addition, we developed the Immuno-STAT® platform designed to engineer therapies that selectively target disease-specific T cells in vivo without broad immune modulation. Our lead autoimmune candidate, CUE-401, is advancing towards Phase 1 development and was designed to regulate inflammation and drive Treg-mediated tolerance.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9, 2026, we entered into a securities purchase agreement, or the Purchase Agreement, with accredited investors, or the Investors, pursuant to which we, in a private placement, agreed to issue and sell to the Investors an aggregate of (i) 1,418,070 shares of our common stock, at a price per share of $33.21 and (ii) to certain Investors, in lieu of shares of our common stock, Pre-Funded Warrants to purchase up to 87,500 shares of our common stock at a price per Pre-Funded Warrant of $33.209, for gross proceeds of approximately $50.0 million. The closing of the Private Placement occurred on July 13, 2026, or the Closing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Pre-Funded Warrant has an exercise price of $0.001 per share and is cashless exercisable. In certain circumstances, upon a fundamental transaction (as described in the Pre-Funded Warrants), a holder of Pre-Funded Warrants will be entitled to receive, upon exercise of the Pre-Funded Warrants, the kind and amount of securities, cash or other property that such holder would have received had they exercised the Pre-Funded Warrants immediately prior to the fundamental transaction; provided, however, that in the event of a fundamental transaction where the consideration consists solely of cash, solely of marketable securities or a combination thereof, each Pre-Funded Warrant will be deemed to be exercised in full in a cashless exercise effective immediately prior to and contingent upon the consummation of such fundamental transaction. Under the Pre-Funded Warrants, we may not effect the exercise of any such warrants, and a holder will not be entitled to exercise any portion of any such warrant that, upon giving effect to such exercise, would cause: (i) the aggregate number of shares of our common stock beneficially owned by such holder (together with its affiliates) to exceed 4.99% or 9.99%, as elected by the holder, of the number of shares of our common stock outstanding immediately after giving effect to the exercise; or (ii) the combined voting power of our securities beneficially owned by such holder (together with its affiliates) to exceed 4.99% or 9.99%, as elected by the holder, of the combined voting power of all of our securities outstanding immediately after giving effect to the exercise, as such percentage ownership is determined in accordance with the terms of the applicable warrant, which percentage may be changed at the holder’s election to a higher percentage not in excess of 19.99% upon 61 days’ notice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Based in part upon the representations of the Investors in the Purchase Agreement, the offering and sale of the shares of common stock and Pre-Funded Warrants was exempt from registration under Section 4(a)(2) of the Securities Act and/or Rule 506 of Regulation D under the Securities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Private Placement, we entered into a registration rights agreement, dated July 9, 2026, or the Registration Rights Agreement, with the Investors, pursuant to which we agreed to file a registration statement with the SEC covering the resale of the Shares within 30 days following the closing of the Private Placement, or the Filing Deadline. We have agreed to use reasonable best efforts to cause such registration statement to be declared effective as promptly as possible but no later than the earlier of (i) the 60th calendar day following the Filing Deadline if the SEC notifies us that it will review such registration statement and (ii) the fifth business day after we are notified by the SEC that such registration statement will not be reviewed or will not be subject to further review. We have also agreed to keep the registration statement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We have agreed to be responsible for all fees and expenses incurred in connection with the registration of the Shares.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granted the Investors customary indemnification rights in connection with the registration statement. The Investors have also granted us customary indemnification rights in connection with the registration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registration statement of which this prospectus is a part relates to the offer and resale of the Shares issued to the Investors pursuant to the Purchase Agreement, including the shares of our common stock issuable upon the exercise of outstanding Pre-Funded Warrants. When we refer to the selling stockholders in this prospectus, we are referring to the Investors and, as applicable, any donees, pledgees, assignees, transferees or other successors-in-interest selling the Shares received after the date of this prospectus from the selling stockholders as a gift, pledge, or other non-sale related transfer.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closing of the Private Placement, as of July 24, 2026 we had 6,826,387 shares of common stock outstanding.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a number of risks of which you should be aware before making an investment decision. These risks are discussed more fully in the section titled “Risk Factors” immediately following this prospectus summary and under similar headings in our filings with the SEC which are incorporated by reference in this prospectus. These risks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clinical-stage biopharmaceutical company, have no history of generating commercial revenue, have a history of operating losses and may never achieve or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currently do not have, and may never develop, any U.S Food and Drug Administration, or FDA,-approved or commercialized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success of our drug product candidates, and significant additional research and development and clinical testing will be required before we can potentially seek regulatory approval for or commercialize any of our drug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 history of commercializing biologic products, which may make it difficult to evaluate the prospects for our future viability.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in preclinical studies or early clinical trials may not be indicative of results obtained in later trials.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derive results and data for CUE-221 from clinical trials conducted by UBI/Ascendant in China; our access to the clinical results and data may be limited and there is no assurance that the clinical data from any such trials will be accepted or considered by the FDA, or other comparable regulatory authorities.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plan to continue to seek collaborations or strategic alliances. However, we may not be able to establish such relationships, and relationships we have established may not provide the expected benefits.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in our efforts to identify additional drug product candidates. Due to our limited resources and access to capital, we must prioritize the development of certain drug product candidates; these decisions may prove to be wrong and may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significant competition from other biotechnology and pharmaceutical companies, and our operating results will suffer if we fail to compete effectively. Our competitors may be able to develop other compounds or drugs that are able to achieve similar or better results than our drug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 parties to conduct our clinical trials. If these third parties do not successfully carry out their contractual duties or meet expected deadlines, we may not be able to successfully complete development of, obtain regulatory approval for, or commercialize our drug product candidates and our business could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completely on third parties to manufacture our preclinical and clinical drug supplies for our drug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or our licensor(s) are unable to protect our or its intellectual property, then our financial condition, results of operations and the value of our technology and potential products could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we, or any collaborators we may have, obtain marketing approvals for any of our drug product candidates, the terms of approvals and ongoing regulation of our products could require the substantial expenditure of resources and may limit how we, or they, manufacture and market our products, which could materially impair our ability to generate revenue.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substantial additional financing to support our growth and ongoing operations. Additional capital may be difficult to obtain, restrict our operations, require us to relinquish rights to our technologies or drug product candidates, encumber our assets and result in ongoing debt service cost, or result in additional dilution to our stockholders.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Securities Exchange Act of 1934, as amended, or the Exchange Act. For as long as we remain a smaller reporting company, we may take advantage of certain exemptions from various public company reporting requirements,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as Imagen Biopharma, Inc. in Delaware on December 31, 2014. In October 2016, we changed our name to Cue Biopharma, Inc. The address of our corporate headquarters is 40 Guest Street, Boston, Massachusetts 02135 and our telephone number is (617) 949-2680. Our website address is www.cuebiopharma.com. Our website and the information contained on, or that can be accessed through, our website will not be deemed to be incorporated by reference in, and are not considered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136967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Stockholders </w:t>
            </w:r>
          </w:p>
        </w:tc>
        <w:tc>
          <w:tcPr>
            <w:tcW w:w="6328" w:type="dxa"/>
            <w:tcBorders/>
          </w:tcPr>
          <w:p>
            <w:pPr>
              <w:pStyle w:val="TableContents"/>
              <w:bidi w:val="0"/>
              <w:spacing w:before="0" w:after="283"/>
              <w:jc w:val="left"/>
              <w:rPr/>
            </w:pPr>
            <w:r>
              <w:rPr/>
              <w:t xml:space="preserve">1,505,570 Shares (consisting of 1,418,070 shares of our common stock and 87,500 shares of our common stock issuable upon exercise of the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 xml:space="preserve">The selling stockholders will receive all of the proceeds from the sale of the Shares hereunder. Accordingly, we will not receive any of the proceeds from the sale of the Shares in this offering; however, we will receive nominal proceeds from any cash exercise of the Pre-Funded Warrants.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An investment in our common stock involves a high degree of risk. See the information contained in or incorporated by reference in the section titled “Risk Factors” and under similar headings in the other documents that are incorporated by reference herein, as well as the other information included in or incorporated by reference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Capital Market Symbol </w:t>
            </w:r>
          </w:p>
        </w:tc>
        <w:tc>
          <w:tcPr>
            <w:tcW w:w="6327" w:type="dxa"/>
            <w:tcBorders/>
          </w:tcPr>
          <w:p>
            <w:pPr>
              <w:pStyle w:val="TableContents"/>
              <w:bidi w:val="0"/>
              <w:spacing w:before="0" w:after="283"/>
              <w:jc w:val="left"/>
              <w:rPr/>
            </w:pPr>
            <w:r>
              <w:rPr/>
              <w:t xml:space="preserve">Our common stock is listed on The Nasdaq Capital Market under the symbol “CUE.”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36967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review the risks and uncertainties described under the heading “Risk Factors” contained in our Annual Report on Form 10-K for the fiscal year ended December 31, 2025, as updated by our quarterly and other reports and documents that are incorporated by reference into this prospectus,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“Cautionary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36967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“forward-looking statements” within the meaning of Section 27A of the Securities Act, and Section 21E of the Exchange Act. Forward-looking statements, which are based on certain assumptions and describe our future plans, strategies and expectations, can generally be identified by the use of forward-looking terms such as “believe,” “expect,” “may,” “will,” “should,” “would,” “could,” “seek,” “intend,” “plan,” “goal,” “project,” “estimate,” “anticipate,” “strategy,” “future,” “likely” or other comparable terms. All statements, other than statements of historical fact, contained in this prospectus and the documents incorporated by reference herein, including statements regarding our strategy, future operations, future financial position, future revenue, projected costs, prospects, plans and objectives of management,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and the documents incorporated by reference herein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ongoing and planned preclinical studies and any future clinical trials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 capital requirements and need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fund our projected operating requirements with our existing cash resources and the period in which we expect that such cash resources will enable us to fund such operating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our drug product candidates, including our prioritization of our autoimmune programs, including CUE-221 (formerly known as Ascendant-221), CUE-401 and the CUE-500 series (excluding CUE-501, which has been licensed to Boehringer Ingelheim International GmbH);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our ability to submit applications for, and to obtain and maintain regulatory approvals for, our drug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advantages of our drug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our drug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the potential market opportunity for our drug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commercialization, marketing and manufacturing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additional products, drug product candidates or technologies with significant commercial potential that are consistent with our commercial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 laws and regulations, general economic and market conditions, inflation, and the imposition of new or revised global trade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establish collaborations or obtain additional funding.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See the “Risk Factors” section included in our periodic reports filed with the SEC and in the other documents incorporated by reference in this prospectus for more information. Our forward-looking statements do not reflect the potential impact of any future acquisitions, mergers, dispositions, collaborations, joint ventures or investments we may make or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read this prospectus and the documents incorporated by reference herein and therein completely and with the understanding that our actual future results may be materially different from what we expect. The forward-looking statements contained in this prospectus or incorporated by reference herein speak only as of the date on which they are made, and we do not assume any obligation to update any forward-looking statements, whether as a result of new information, future events or otherwise,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incorporated by reference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drug product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and we are responsible for such information, no independent source has verified such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36967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will receive all of the proceeds from the sale of the Shares hereunder. Accordingly, we will not receive any of the proceeds from the sale of the Shares in this offering; however, we will receive nominal proceeds from any cash exercise of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36967_7"/>
      <w:bookmarkEnd w:id="9"/>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have prepared this prospectus to allow the selling stockholders to offer and sell from time to time up to 1,505,570 shares of our common stock for their own account, consisting of (i) 1,418,070 shares of our common stock and (ii) 87,500 shares of our common stock issuable to the selling stockholders upon exercise of the Pre-Funded Warrants, without giving effect to any beneficial ownership limitation contained in any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offer and sale of the Shares to satisfy certain registration obligations that we granted the selling stockholders in connection with the purchase of the Shares pursuant to the Registration Rights Agreement. Under the terms of the Registration Rights Agreement, we agreed to file a registration statement covering the resale of the Shares by the Filing Deadline, and we agreed to use reasonable best efforts to cause such registration statement to be declared effective as promptly as possible but no later than the earlier of (i) the 60th calendar day following the Filing Deadline if the SEC notifies us that it will review such registration statement and (ii) the fifth business day after we are notified by the SEC that such registration statement will not be reviewed or will not be subject to further review. We have also agreed to keep the registration statement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240" w:after="0"/>
        <w:jc w:val="left"/>
        <w:rPr>
          <w:rFonts w:ascii="Times New Roman" w:hAnsi="Times New Roman"/>
          <w:sz w:val="20"/>
        </w:rPr>
      </w:pPr>
      <w:r>
        <w:rPr>
          <w:rFonts w:ascii="Times New Roman" w:hAnsi="Times New Roman"/>
          <w:sz w:val="20"/>
        </w:rPr>
        <w:t xml:space="preserve">The Pre-Funded-Warrants provide that we may not effect the exercise of any such warrants, and a holder will not be entitled to exercise any portion of any such warrant that, upon giving effect to such exercise, would cause: (i) the aggregate number of shares of our common stock beneficially owned by such holder (together with its affiliates) to exceed 4.99% or 9.99%, as elected by the holder, of the number of shares of our common stock outstanding immediately after giving effect to the exercise; or (ii) the combined voting power of our securities beneficially owned by such holder (together with its affiliates) to exceed 4.99% or 9.99%, as elected by the holder, of the combined voting power of all of our securities outstanding immediately after giving effect to the exercise, as such percentage ownership is determined in accordance with the terms of the applicable warrant, which percentage may be changed at the holder’s election to a higher percentage not in excess of 19.99% upon 61 days’ notice to 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have not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to our knowledge, information concerning the beneficial ownership of shares of our common stock by the selling stockholders as of July 24, 2026. Beneficial ownership is determined in accordance with the rules of the SEC, and includes voting or investment power with respect to our common stock. Except as indicated by the footnotes below, we believe, based on the information furnished to us, that each selling stockholder named in the table below has sole voting and investment power with respect to all shares of common stock that they beneficially own, subject to applicable community property laws.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that may be offered under this prospectus includes all shares of our common stock underlying Pre-Funded Warrants purchased by such selling stockholder in the Private Placement, without giving effect to any beneficial ownership limitations in the Pre-Funded Warrants. The number of shares of common stock beneficially owned by each selling stockholder following the offering assumes all of the Shares covered hereby are sold and such stockholder does not acquire beneficial ownership of any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shares owned before and after the offering are based on 6,826,387 shares of our common stock outstanding as of July 24, 2026, which does not include any shares of common stock offered by this prospectus that are issuable pursuant to the Pre-Funded Warrants, and assumes the selling stockholders dispose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all of the Shares covered by this prospectus and do not acquire beneficial ownership of any additional shares of common stock. The registration of the Shares does not necessarily mean that the selling stockholders will sell all or any portion of the Shares covered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some, all or none of the Shares offered by this prospectus from time to time. We do not know how long the selling stockholders will hold the Shares covered hereby before selling them and we currently have no agreements, arrangements or understandings with the selling stockholders regarding the sale or other disposition of any Shares.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“selling stockholders” includes the selling stockholders listed in the table below, together with any additional selling stockholders listed in a prospectus supplement, and their donees, pledgees, assignees, transferees, distributees and successors-in-interest that receive Shares in any non-sale transfer after the date of this prospectus. </w:t>
      </w:r>
    </w:p>
    <w:p>
      <w:pPr>
        <w:pStyle w:val="TextBody"/>
        <w:bidi w:val="0"/>
        <w:spacing w:before="0" w:after="0"/>
        <w:jc w:val="left"/>
        <w:rPr/>
      </w:pPr>
      <w:r>
        <w:rPr/>
        <w:t> </w:t>
      </w:r>
    </w:p>
    <w:tbl>
      <w:tblPr>
        <w:tblW w:w="11982" w:type="dxa"/>
        <w:jc w:val="center"/>
        <w:tblInd w:w="0" w:type="dxa"/>
        <w:tblLayout w:type="fixed"/>
        <w:tblCellMar>
          <w:top w:w="0" w:type="dxa"/>
          <w:left w:w="0" w:type="dxa"/>
          <w:bottom w:w="0" w:type="dxa"/>
          <w:right w:w="0" w:type="dxa"/>
        </w:tblCellMar>
      </w:tblPr>
      <w:tblGrid>
        <w:gridCol w:w="2900"/>
        <w:gridCol w:w="120"/>
        <w:gridCol w:w="118"/>
        <w:gridCol w:w="1584"/>
        <w:gridCol w:w="118"/>
        <w:gridCol w:w="237"/>
        <w:gridCol w:w="189"/>
        <w:gridCol w:w="1406"/>
        <w:gridCol w:w="275"/>
        <w:gridCol w:w="60"/>
        <w:gridCol w:w="106"/>
        <w:gridCol w:w="1414"/>
        <w:gridCol w:w="60"/>
        <w:gridCol w:w="120"/>
        <w:gridCol w:w="181"/>
        <w:gridCol w:w="1152"/>
        <w:gridCol w:w="181"/>
        <w:gridCol w:w="363"/>
        <w:gridCol w:w="181"/>
        <w:gridCol w:w="1157"/>
        <w:gridCol w:w="60"/>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 Prior to</w:t>
              <w:br/>
              <w:t>this</w:t>
              <w:br/>
              <w:t>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 After this</w:t>
              <w:br/>
              <w:t>Offering(1)</w:t>
            </w:r>
          </w:p>
        </w:tc>
        <w:tc>
          <w:tcPr>
            <w:tcW w:w="60" w:type="dxa"/>
            <w:tcBorders/>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283"/>
              <w:jc w:val="left"/>
              <w:rPr>
                <w:b/>
              </w:rPr>
            </w:pPr>
            <w:r>
              <w:rPr>
                <w:b/>
              </w:rPr>
              <w:t>Name of Selling Stockholder</w:t>
            </w:r>
          </w:p>
        </w:tc>
        <w:tc>
          <w:tcPr>
            <w:tcW w:w="120" w:type="dxa"/>
            <w:tcBorders/>
            <w:vAlign w:val="bottom"/>
          </w:tcPr>
          <w:p>
            <w:pPr>
              <w:pStyle w:val="TableContents"/>
              <w:bidi w:val="0"/>
              <w:spacing w:before="0" w:after="283"/>
              <w:jc w:val="left"/>
              <w:rPr/>
            </w:pPr>
            <w:r>
              <w:rPr/>
              <w:t>  </w:t>
            </w:r>
          </w:p>
        </w:tc>
        <w:tc>
          <w:tcPr>
            <w:tcW w:w="1702" w:type="dxa"/>
            <w:gridSpan w:val="2"/>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Outstanding</w:t>
              <w:br/>
              <w:t>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Being Offered(2)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of</w:t>
              <w:br/>
              <w:t>Shares</w:t>
            </w:r>
          </w:p>
        </w:tc>
        <w:tc>
          <w:tcPr>
            <w:tcW w:w="181"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Outstanding</w:t>
              <w:br/>
              <w:t>Common Stock</w:t>
            </w:r>
          </w:p>
        </w:tc>
        <w:tc>
          <w:tcPr>
            <w:tcW w:w="60" w:type="dxa"/>
            <w:tcBorders/>
            <w:vAlign w:val="bottom"/>
          </w:tcPr>
          <w:p>
            <w:pPr>
              <w:pStyle w:val="TableContents"/>
              <w:bidi w:val="0"/>
              <w:spacing w:before="0" w:after="283"/>
              <w:jc w:val="left"/>
              <w:rPr/>
            </w:pPr>
            <w:r>
              <w:rPr/>
              <w:t> </w:t>
            </w:r>
          </w:p>
        </w:tc>
      </w:tr>
      <w:tr>
        <w:trPr/>
        <w:tc>
          <w:tcPr>
            <w:tcW w:w="2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Cormorant Global Healthcare Master Fund(3)</w:t>
            </w:r>
          </w:p>
        </w:tc>
        <w:tc>
          <w:tcPr>
            <w:tcW w:w="12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584" w:type="dxa"/>
            <w:tcBorders/>
            <w:shd w:fill="CCEEFF" w:val="clear"/>
            <w:vAlign w:val="bottom"/>
          </w:tcPr>
          <w:p>
            <w:pPr>
              <w:pStyle w:val="TableContents"/>
              <w:bidi w:val="0"/>
              <w:spacing w:before="0" w:after="283"/>
              <w:jc w:val="right"/>
              <w:rPr/>
            </w:pPr>
            <w:r>
              <w:rPr/>
              <w:t>681,956</w:t>
            </w:r>
          </w:p>
        </w:tc>
        <w:tc>
          <w:tcPr>
            <w:tcW w:w="118"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pPr>
            <w:r>
              <w:rPr/>
              <w:t>9.99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752,785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90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Vivo Opportunity(4)</w:t>
            </w:r>
          </w:p>
        </w:tc>
        <w:tc>
          <w:tcPr>
            <w:tcW w:w="12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84" w:type="dxa"/>
            <w:tcBorders/>
            <w:vAlign w:val="bottom"/>
          </w:tcPr>
          <w:p>
            <w:pPr>
              <w:pStyle w:val="TableContents"/>
              <w:bidi w:val="0"/>
              <w:spacing w:before="0" w:after="283"/>
              <w:jc w:val="right"/>
              <w:rPr/>
            </w:pPr>
            <w:r>
              <w:rPr/>
              <w:t>150,557</w:t>
            </w:r>
          </w:p>
        </w:tc>
        <w:tc>
          <w:tcPr>
            <w:tcW w:w="118"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pPr>
            <w:r>
              <w:rPr/>
              <w:t>2.21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150,557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Seligman Healthcare Spectrum (Master) Fund(5)</w:t>
            </w:r>
          </w:p>
        </w:tc>
        <w:tc>
          <w:tcPr>
            <w:tcW w:w="12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584" w:type="dxa"/>
            <w:tcBorders/>
            <w:shd w:fill="CCEEFF" w:val="clear"/>
            <w:vAlign w:val="bottom"/>
          </w:tcPr>
          <w:p>
            <w:pPr>
              <w:pStyle w:val="TableContents"/>
              <w:bidi w:val="0"/>
              <w:spacing w:before="0" w:after="283"/>
              <w:jc w:val="right"/>
              <w:rPr/>
            </w:pPr>
            <w:r>
              <w:rPr/>
              <w:t>602,228</w:t>
            </w:r>
          </w:p>
        </w:tc>
        <w:tc>
          <w:tcPr>
            <w:tcW w:w="118"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pPr>
            <w:r>
              <w:rPr/>
              <w:t>8.82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602,228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each selling stockholder sells the maximum number of shares of our common stock possible in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all of the shares of our common stock that the selling stockholders may offer and sell from time to time under this prospectus without giving effect to the beneficial ownership limitations in the Pre-Funded Warrants.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665,285 shares of common stock issued in the Private Placement and (ii) 16,671 shares of common stock issuable upon the exercise of Pre-Funded Warrants issued in the Private Placement, in each case held by Cormorant Global Healthcare Master Fund. Due to a beneficial ownership blocker in the Pre-Funded Warrants, the number of shares beneficially owned prior to the offering excludes 70,829 shares of common stock issuable upon the exercise of Pre-Funded Warrants. Bihua Chen is the Managing Member of Cormorant Global Healthcare GP, LLC, the General Partner of Cormorant Global Healthcare Master Fund, and exercises investment discretion with respect to these shares. The address for the selling stockholder is 200 Clarendon Street, 50th Floor, Boston, MA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136,751 shares of common stock issued in the Private Placement held by Vivo Opportunity Fund Holdings and (ii) 13,806 shares of common stock issued in the Private Placement held by Vivo Opportunity Cayman Fund. Kevin Dai, Gaurav Aggarwal, Frank Kung and Shan Fu are the managing members of Vivo Opportunity, LLC, General Partner of Vivo Opportunity Fund Holdings, L.P. and Vivo Opportunity Cayman, LLC, General Partner of Vivo Opportunity Cayman Fund, L.P., and exercise investment discretion with respect to these shares. The address for the selling stockholder is 192 Lytton Ave., Palo Alto, CA 94301.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602,228 shares of common stock issued in the Private Placement held by Seligman Healthcare Spectrum (Master) Fund. Columbia Management Investment Advisers, LLC serves as investment manager to Seligman Healthcare Spectrum (Master) Fund, or SHS Master. Kosta Kleyman, portfolio manager of SHS Master, may be deemed to exercise ultimate investment power with respect to these shares. The address for the selling stockholder is c/o Columbia Management Investment Advisors, 290 Congress St., Boston, MA 02210.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36967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 common stock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36967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and the validity of the securities offered by this prospectus will be passed upon by Cooley LLP, Santa Monica, California. </w:t>
      </w:r>
    </w:p>
    <w:p>
      <w:pPr>
        <w:pStyle w:val="TextBody"/>
        <w:bidi w:val="0"/>
        <w:spacing w:before="480" w:after="0"/>
        <w:jc w:val="center"/>
        <w:rPr>
          <w:rFonts w:ascii="Times New Roman" w:hAnsi="Times New Roman"/>
          <w:b/>
          <w:sz w:val="20"/>
        </w:rPr>
      </w:pPr>
      <w:bookmarkStart w:id="12" w:name="tx136967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Cue Biopharma, Inc. as of December 31, 2025 and 2024 and for each of the years in the two-year period ended December 31, 2025, incorporated in the prospectus by reference from the Cue Biopharma, Inc. Annual Report on Form 10-K for the year ended December 31, 2025 have been audited by RSM US LLP, an independent registered public accounting firm, as stated in their report thereon (which report expresses an unqualified opinion and includes an explanatory paragraph relating to the Company’s ability to continue as a going concern), incorporated herein by reference, and have been incorporated in this prospectus and registration statement in reliance upon such report and upon the authority of such firm as experts in accounting and auditing. </w:t>
      </w:r>
    </w:p>
    <w:p>
      <w:pPr>
        <w:pStyle w:val="TextBody"/>
        <w:bidi w:val="0"/>
        <w:spacing w:before="480" w:after="0"/>
        <w:jc w:val="center"/>
        <w:rPr>
          <w:rFonts w:ascii="Times New Roman" w:hAnsi="Times New Roman"/>
          <w:b/>
          <w:sz w:val="20"/>
        </w:rPr>
      </w:pPr>
      <w:bookmarkStart w:id="13" w:name="tx136967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We have not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our company, Cue Biopharma, Inc. The address of the SEC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Copies of certain information filed by us with the SEC are also available on our website at www.cuebiopharma.com. Information contained in or accessible through our website does not constitute a part of this prospectus and is not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36967_12"/>
      <w:bookmarkEnd w:id="14"/>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including those made after the date of the initial filing of the registration statement of which this prospectus is a part but prior to the effectiveness of such registration statement, until we file a post-effective amendment that indicates the termination of all offerings of securities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as filed with the SEC on March 16, 2026, including the information specifically incorporated by reference into the Annual Report on Form 10-K from our </w:t>
            </w:r>
            <w:hyperlink r:id="rId4">
              <w:r>
                <w:rPr>
                  <w:rStyle w:val="InternetLink"/>
                  <w:rFonts w:ascii="Times New Roman" w:hAnsi="Times New Roman"/>
                  <w:sz w:val="20"/>
                </w:rPr>
                <w:t>definitive proxy statement</w:t>
              </w:r>
            </w:hyperlink>
            <w:r>
              <w:rPr>
                <w:rFonts w:ascii="Times New Roman" w:hAnsi="Times New Roman"/>
                <w:sz w:val="20"/>
              </w:rPr>
              <w:t xml:space="preserve"> for the 2026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fiscal quarter ended March 31, 2026, as filed with the SEC on </w:t>
            </w:r>
            <w:hyperlink r:id="rId5">
              <w:r>
                <w:rPr>
                  <w:rStyle w:val="InternetLink"/>
                  <w:rFonts w:ascii="Times New Roman" w:hAnsi="Times New Roman"/>
                  <w:sz w:val="20"/>
                </w:rPr>
                <w:t>May 14,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as filed with the SEC on </w:t>
            </w:r>
            <w:hyperlink r:id="rId6">
              <w:r>
                <w:rPr>
                  <w:rStyle w:val="InternetLink"/>
                  <w:rFonts w:ascii="Times New Roman" w:hAnsi="Times New Roman"/>
                  <w:sz w:val="20"/>
                </w:rPr>
                <w:t>February  12, 2026</w:t>
              </w:r>
            </w:hyperlink>
            <w:r>
              <w:rPr>
                <w:rFonts w:ascii="Times New Roman" w:hAnsi="Times New Roman"/>
                <w:sz w:val="20"/>
              </w:rPr>
              <w:t xml:space="preserve">, </w:t>
            </w:r>
            <w:hyperlink r:id="rId7">
              <w:r>
                <w:rPr>
                  <w:rStyle w:val="InternetLink"/>
                  <w:rFonts w:ascii="Times New Roman" w:hAnsi="Times New Roman"/>
                  <w:sz w:val="20"/>
                </w:rPr>
                <w:t>February  18, 2026</w:t>
              </w:r>
            </w:hyperlink>
            <w:r>
              <w:rPr>
                <w:rFonts w:ascii="Times New Roman" w:hAnsi="Times New Roman"/>
                <w:sz w:val="20"/>
              </w:rPr>
              <w:t xml:space="preserve">, </w:t>
            </w:r>
            <w:hyperlink r:id="rId8">
              <w:r>
                <w:rPr>
                  <w:rStyle w:val="InternetLink"/>
                  <w:rFonts w:ascii="Times New Roman" w:hAnsi="Times New Roman"/>
                  <w:sz w:val="20"/>
                </w:rPr>
                <w:t>March  27, 2026</w:t>
              </w:r>
            </w:hyperlink>
            <w:r>
              <w:rPr>
                <w:rFonts w:ascii="Times New Roman" w:hAnsi="Times New Roman"/>
                <w:sz w:val="20"/>
              </w:rPr>
              <w:t xml:space="preserve">, </w:t>
            </w:r>
            <w:hyperlink r:id="rId9">
              <w:r>
                <w:rPr>
                  <w:rStyle w:val="InternetLink"/>
                  <w:rFonts w:ascii="Times New Roman" w:hAnsi="Times New Roman"/>
                  <w:sz w:val="20"/>
                </w:rPr>
                <w:t>April  7, 2026</w:t>
              </w:r>
            </w:hyperlink>
            <w:r>
              <w:rPr>
                <w:rFonts w:ascii="Times New Roman" w:hAnsi="Times New Roman"/>
                <w:sz w:val="20"/>
              </w:rPr>
              <w:t xml:space="preserve">, </w:t>
            </w:r>
            <w:hyperlink r:id="rId10">
              <w:r>
                <w:rPr>
                  <w:rStyle w:val="InternetLink"/>
                  <w:rFonts w:ascii="Times New Roman" w:hAnsi="Times New Roman"/>
                  <w:sz w:val="20"/>
                </w:rPr>
                <w:t>April  13, 2026</w:t>
              </w:r>
            </w:hyperlink>
            <w:r>
              <w:rPr>
                <w:rFonts w:ascii="Times New Roman" w:hAnsi="Times New Roman"/>
                <w:sz w:val="20"/>
              </w:rPr>
              <w:t xml:space="preserve">, </w:t>
            </w:r>
            <w:hyperlink r:id="rId11">
              <w:r>
                <w:rPr>
                  <w:rStyle w:val="InternetLink"/>
                  <w:rFonts w:ascii="Times New Roman" w:hAnsi="Times New Roman"/>
                  <w:sz w:val="20"/>
                </w:rPr>
                <w:t>April  22, 2026</w:t>
              </w:r>
            </w:hyperlink>
            <w:r>
              <w:rPr>
                <w:rFonts w:ascii="Times New Roman" w:hAnsi="Times New Roman"/>
                <w:sz w:val="20"/>
              </w:rPr>
              <w:t xml:space="preserve">, </w:t>
            </w:r>
            <w:hyperlink r:id="rId12">
              <w:r>
                <w:rPr>
                  <w:rStyle w:val="InternetLink"/>
                  <w:rFonts w:ascii="Times New Roman" w:hAnsi="Times New Roman"/>
                  <w:sz w:val="20"/>
                </w:rPr>
                <w:t>May  1, 2026</w:t>
              </w:r>
            </w:hyperlink>
            <w:r>
              <w:rPr>
                <w:rFonts w:ascii="Times New Roman" w:hAnsi="Times New Roman"/>
                <w:sz w:val="20"/>
              </w:rPr>
              <w:t xml:space="preserve">, </w:t>
            </w:r>
            <w:hyperlink r:id="rId13">
              <w:r>
                <w:rPr>
                  <w:rStyle w:val="InternetLink"/>
                  <w:rFonts w:ascii="Times New Roman" w:hAnsi="Times New Roman"/>
                  <w:sz w:val="20"/>
                </w:rPr>
                <w:t>June  2, 2026</w:t>
              </w:r>
            </w:hyperlink>
            <w:r>
              <w:rPr>
                <w:rFonts w:ascii="Times New Roman" w:hAnsi="Times New Roman"/>
                <w:sz w:val="20"/>
              </w:rPr>
              <w:t xml:space="preserve">, </w:t>
            </w:r>
            <w:hyperlink r:id="rId14">
              <w:r>
                <w:rPr>
                  <w:rStyle w:val="InternetLink"/>
                  <w:rFonts w:ascii="Times New Roman" w:hAnsi="Times New Roman"/>
                  <w:sz w:val="20"/>
                </w:rPr>
                <w:t>June  3, 2026</w:t>
              </w:r>
            </w:hyperlink>
            <w:r>
              <w:rPr>
                <w:rFonts w:ascii="Times New Roman" w:hAnsi="Times New Roman"/>
                <w:sz w:val="20"/>
              </w:rPr>
              <w:t xml:space="preserve">, </w:t>
            </w:r>
            <w:hyperlink r:id="rId15">
              <w:r>
                <w:rPr>
                  <w:rStyle w:val="InternetLink"/>
                  <w:rFonts w:ascii="Times New Roman" w:hAnsi="Times New Roman"/>
                  <w:sz w:val="20"/>
                </w:rPr>
                <w:t>July  10, 2026</w:t>
              </w:r>
            </w:hyperlink>
            <w:r>
              <w:rPr>
                <w:rFonts w:ascii="Times New Roman" w:hAnsi="Times New Roman"/>
                <w:sz w:val="20"/>
              </w:rPr>
              <w:t xml:space="preserve">, and </w:t>
            </w:r>
            <w:hyperlink r:id="rId16">
              <w:r>
                <w:rPr>
                  <w:rStyle w:val="InternetLink"/>
                  <w:rFonts w:ascii="Times New Roman" w:hAnsi="Times New Roman"/>
                  <w:sz w:val="20"/>
                </w:rPr>
                <w:t>August 3, 2026</w:t>
              </w:r>
            </w:hyperlink>
            <w:r>
              <w:rPr>
                <w:rFonts w:ascii="Times New Roman" w:hAnsi="Times New Roman"/>
                <w:sz w:val="20"/>
              </w:rPr>
              <w:t xml:space="preserve"> (each to the extent the information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in our registration statement on </w:t>
            </w:r>
            <w:hyperlink r:id="rId17">
              <w:r>
                <w:rPr>
                  <w:rStyle w:val="InternetLink"/>
                  <w:rFonts w:ascii="Times New Roman" w:hAnsi="Times New Roman"/>
                  <w:sz w:val="20"/>
                </w:rPr>
                <w:t>Form 8-A</w:t>
              </w:r>
            </w:hyperlink>
            <w:r>
              <w:rPr>
                <w:rFonts w:ascii="Times New Roman" w:hAnsi="Times New Roman"/>
                <w:sz w:val="20"/>
              </w:rPr>
              <w:t xml:space="preserve"> filed with the SEC on December  13, 2017, including any amendments or reports filed for the purpose of updating such description, including </w:t>
            </w:r>
            <w:hyperlink r:id="rId18">
              <w:r>
                <w:rPr>
                  <w:rStyle w:val="InternetLink"/>
                  <w:rFonts w:ascii="Times New Roman" w:hAnsi="Times New Roman"/>
                  <w:sz w:val="20"/>
                </w:rPr>
                <w:t>Exhibit 4.2</w:t>
              </w:r>
            </w:hyperlink>
            <w:r>
              <w:rPr>
                <w:rFonts w:ascii="Times New Roman" w:hAnsi="Times New Roman"/>
                <w:sz w:val="20"/>
              </w:rPr>
              <w:t xml:space="preserve"> to the Annual Report on Form 10-K for the year ended December 31, 2025, which was filed with the SEC on March 16, 2026. </w:t>
            </w:r>
          </w:p>
        </w:tc>
      </w:tr>
    </w:tbl>
    <w:p>
      <w:pPr>
        <w:pStyle w:val="TextBody"/>
        <w:bidi w:val="0"/>
        <w:spacing w:before="240" w:after="0"/>
        <w:jc w:val="left"/>
        <w:rPr>
          <w:rFonts w:ascii="Times New Roman" w:hAnsi="Times New Roman"/>
          <w:sz w:val="20"/>
        </w:rPr>
      </w:pPr>
      <w:r>
        <w:rPr>
          <w:rFonts w:ascii="Times New Roman" w:hAnsi="Times New Roman"/>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40 Guest Street, Boston, Massachusetts 02135, or by telephoning us at (617) 949-2680.</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1,505,570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365375" cy="9023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2365375" cy="902335"/>
                    </a:xfrm>
                    <a:prstGeom prst="rect">
                      <a:avLst/>
                    </a:prstGeom>
                  </pic:spPr>
                </pic:pic>
              </a:graphicData>
            </a:graphic>
          </wp:inline>
        </w:drawing>
      </w:r>
      <w:r>
        <w:rPr/>
        <w:t xml:space="preserve"> </w:t>
      </w:r>
    </w:p>
    <w:p>
      <w:pPr>
        <w:pStyle w:val="TextBody"/>
        <w:bidi w:val="0"/>
        <w:spacing w:before="6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to be incurred in connection with the sale and distribution of the securities being registered hereby, all of which will be borne by the Registrant (except any underwriting discounts and commissions and expenses incurred by the selling stockholders for brokerage, accounting, tax or legal services or any other expenses incurred by the selling stockholders in disposing of its shares). All amounts shown are estimates,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3"/>
        <w:gridCol w:w="403"/>
        <w:gridCol w:w="141"/>
        <w:gridCol w:w="1158"/>
        <w:gridCol w:w="64"/>
      </w:tblGrid>
      <w:tr>
        <w:trPr/>
        <w:tc>
          <w:tcPr>
            <w:tcW w:w="517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5,466.20</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30,000.00</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30,000.00</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miscellaneous expenses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3,000.00</w:t>
            </w:r>
          </w:p>
        </w:tc>
        <w:tc>
          <w:tcPr>
            <w:tcW w:w="64" w:type="dxa"/>
            <w:tcBorders/>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68,466.20</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qualified in its entirety by reference to the complete Delaware General Corporation Law, or the DGCL, and our Amended and Restated Certificate of Incorporation, as amended, or the Amended and Restated Certificate of Incorporation, and our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generally, that our Amended and Restated Certificate of Incorporation may contain a provision eliminating or limiting the personal liability of a director or officer to the corporation or its stockholders for monetary damages for breach of fiduciary duty as a director or officer, provided that such provision may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 </w:t>
      </w:r>
    </w:p>
    <w:p>
      <w:pPr>
        <w:pStyle w:val="TextBody"/>
        <w:bidi w:val="0"/>
        <w:spacing w:before="240" w:after="0"/>
        <w:jc w:val="left"/>
        <w:rPr>
          <w:rFonts w:ascii="Times New Roman" w:hAnsi="Times New Roman"/>
          <w:sz w:val="20"/>
        </w:rPr>
      </w:pPr>
      <w:r>
        <w:rPr>
          <w:rFonts w:ascii="Times New Roman" w:hAnsi="Times New Roman"/>
          <w:sz w:val="20"/>
        </w:rPr>
        <w:t xml:space="preserve">Article VI of our Amended and Restated Certificate of Incorporation states that our directors shall not be personally liable to us or to our stockholders for monetary damages for any breach of fiduciary duty 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 provision of law imposing such liability.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Article V of our Amended and Restated Certificate of Incorporation provides that we shall indemnify (and advance expenses to) our officers and directors to the full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have directors’ and officers’ liability insurance insuring our directors and officers against liability for acts or omissions in their capacities as directors or officers, subject to certain exclusions. Such insurance also insures us against losses which we may incur in indemnifying our officers and directors. As permitted by the DGCL, we have entered into indemnification agreements with each of our directors and executive officers that require us to indemnify such persons against various actions including, but not limited to, third-party actions where such director or executive officer, by reason of his or her corporate status, is a party or is threatened to be made a party to an action, or by reason of anything done or not done by such director in any such capacity. We intend to indemnify directors and executive officers against all costs, judgments, penalties, fines, liabilities, amounts paid in settlement by or on behalf such directors or executive officers and for any expenses actually and reasonably incurred by such directors or executive officers in connection with such action, if such directors or executive officers acted in good faith and in a manner they reasonably believed to be in or not opposed to the best interests of the Company, and with respect to any criminal proceeding, had no reasonable cause to believe their conduct was unlawful. We also intend to advance to our directors and executive officers expenses (including attorney’s fees) incurred by such directors and executive officers in advance of the final disposition of any action after the receipt by the Company of a statement or statements from directors or executive officers requesting such payment or payments from time to time, provided that such statement or statements are accompanied by an undertaking, by or on behalf of such directors or executive officers, to repay such amount if it shall ultimately be determined that they are not entitled to be indemnified against such expenses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agreements also set forth certain procedures that will apply in the event of a claim for indemnification or advancement of expenses, including, among others, provisions about providing notice to the Company of any action in connection with which a director or executive officer seeks indemnification or advancement of expenses from the Company and provisions concerning the determination of entitlement to indemnification or advancement of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1"/>
        <w:gridCol w:w="393"/>
        <w:gridCol w:w="3915"/>
        <w:gridCol w:w="268"/>
        <w:gridCol w:w="591"/>
        <w:gridCol w:w="268"/>
        <w:gridCol w:w="943"/>
        <w:gridCol w:w="268"/>
        <w:gridCol w:w="840"/>
        <w:gridCol w:w="268"/>
        <w:gridCol w:w="1540"/>
      </w:tblGrid>
      <w:tr>
        <w:trPr/>
        <w:tc>
          <w:tcPr>
            <w:tcW w:w="911"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391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911"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391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859" w:type="dxa"/>
            <w:gridSpan w:val="5"/>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r>
      <w:tr>
        <w:trPr/>
        <w:tc>
          <w:tcPr>
            <w:tcW w:w="911" w:type="dxa"/>
            <w:tcBorders/>
            <w:vAlign w:val="bottom"/>
          </w:tcPr>
          <w:p>
            <w:pPr>
              <w:pStyle w:val="TableContents"/>
              <w:bidi w:val="0"/>
              <w:spacing w:before="0" w:after="283"/>
              <w:jc w:val="center"/>
              <w:rPr>
                <w:b/>
              </w:rPr>
            </w:pPr>
            <w:r>
              <w:rPr>
                <w:b/>
              </w:rPr>
              <w:t xml:space="preserve">Exhibit </w:t>
              <w:br/>
              <w:t>Number</w:t>
            </w:r>
          </w:p>
        </w:tc>
        <w:tc>
          <w:tcPr>
            <w:tcW w:w="393" w:type="dxa"/>
            <w:tcBorders/>
            <w:vAlign w:val="bottom"/>
          </w:tcPr>
          <w:p>
            <w:pPr>
              <w:pStyle w:val="TableContents"/>
              <w:bidi w:val="0"/>
              <w:spacing w:before="0" w:after="283"/>
              <w:jc w:val="left"/>
              <w:rPr/>
            </w:pPr>
            <w:r>
              <w:rPr/>
              <w:t>  </w:t>
            </w:r>
          </w:p>
        </w:tc>
        <w:tc>
          <w:tcPr>
            <w:tcW w:w="39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c>
          <w:tcPr>
            <w:tcW w:w="268" w:type="dxa"/>
            <w:tcBorders/>
            <w:vAlign w:val="bottom"/>
          </w:tcPr>
          <w:p>
            <w:pPr>
              <w:pStyle w:val="TableContents"/>
              <w:bidi w:val="0"/>
              <w:spacing w:before="0" w:after="283"/>
              <w:jc w:val="left"/>
              <w:rPr/>
            </w:pPr>
            <w:r>
              <w:rPr/>
              <w:t>  </w:t>
            </w:r>
          </w:p>
        </w:tc>
        <w:tc>
          <w:tcPr>
            <w:tcW w:w="591"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268" w:type="dxa"/>
            <w:tcBorders/>
            <w:vAlign w:val="bottom"/>
          </w:tcPr>
          <w:p>
            <w:pPr>
              <w:pStyle w:val="TableContents"/>
              <w:bidi w:val="0"/>
              <w:spacing w:before="0" w:after="283"/>
              <w:jc w:val="left"/>
              <w:rPr/>
            </w:pPr>
            <w:r>
              <w:rPr/>
              <w:t>  </w:t>
            </w:r>
          </w:p>
        </w:tc>
        <w:tc>
          <w:tcPr>
            <w:tcW w:w="943"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268" w:type="dxa"/>
            <w:tcBorders/>
            <w:vAlign w:val="bottom"/>
          </w:tcPr>
          <w:p>
            <w:pPr>
              <w:pStyle w:val="TableContents"/>
              <w:bidi w:val="0"/>
              <w:spacing w:before="0" w:after="283"/>
              <w:jc w:val="left"/>
              <w:rPr/>
            </w:pPr>
            <w:r>
              <w:rPr/>
              <w:t>  </w:t>
            </w:r>
          </w:p>
        </w:tc>
        <w:tc>
          <w:tcPr>
            <w:tcW w:w="840"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268" w:type="dxa"/>
            <w:tcBorders/>
            <w:vAlign w:val="bottom"/>
          </w:tcPr>
          <w:p>
            <w:pPr>
              <w:pStyle w:val="TableContents"/>
              <w:bidi w:val="0"/>
              <w:spacing w:before="0" w:after="283"/>
              <w:jc w:val="left"/>
              <w:rPr/>
            </w:pPr>
            <w:r>
              <w:rPr/>
              <w:t>  </w:t>
            </w:r>
          </w:p>
        </w:tc>
        <w:tc>
          <w:tcPr>
            <w:tcW w:w="1540"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308" w:type="dxa"/>
            <w:gridSpan w:val="2"/>
            <w:tcBorders/>
            <w:vAlign w:val="center"/>
          </w:tcPr>
          <w:p>
            <w:pPr>
              <w:pStyle w:val="TableContents"/>
              <w:bidi w:val="0"/>
              <w:spacing w:before="0" w:after="283"/>
              <w:jc w:val="left"/>
              <w:rPr>
                <w:sz w:val="4"/>
                <w:szCs w:val="4"/>
              </w:rPr>
            </w:pPr>
            <w:r>
              <w:rPr>
                <w:sz w:val="4"/>
                <w:szCs w:val="4"/>
              </w:rPr>
            </w:r>
          </w:p>
        </w:tc>
        <w:tc>
          <w:tcPr>
            <w:tcW w:w="859" w:type="dxa"/>
            <w:gridSpan w:val="2"/>
            <w:tcBorders/>
            <w:vAlign w:val="center"/>
          </w:tcPr>
          <w:p>
            <w:pPr>
              <w:pStyle w:val="TableContents"/>
              <w:bidi w:val="0"/>
              <w:spacing w:before="0" w:after="283"/>
              <w:jc w:val="left"/>
              <w:rPr>
                <w:sz w:val="4"/>
                <w:szCs w:val="4"/>
              </w:rPr>
            </w:pPr>
            <w:r>
              <w:rPr>
                <w:sz w:val="4"/>
                <w:szCs w:val="4"/>
              </w:rPr>
            </w:r>
          </w:p>
        </w:tc>
        <w:tc>
          <w:tcPr>
            <w:tcW w:w="1211" w:type="dxa"/>
            <w:gridSpan w:val="2"/>
            <w:tcBorders/>
            <w:vAlign w:val="center"/>
          </w:tcPr>
          <w:p>
            <w:pPr>
              <w:pStyle w:val="TableContents"/>
              <w:bidi w:val="0"/>
              <w:spacing w:before="0" w:after="283"/>
              <w:jc w:val="left"/>
              <w:rPr>
                <w:sz w:val="4"/>
                <w:szCs w:val="4"/>
              </w:rPr>
            </w:pPr>
            <w:r>
              <w:rPr>
                <w:sz w:val="4"/>
                <w:szCs w:val="4"/>
              </w:rPr>
            </w:r>
          </w:p>
        </w:tc>
        <w:tc>
          <w:tcPr>
            <w:tcW w:w="1108" w:type="dxa"/>
            <w:gridSpan w:val="2"/>
            <w:tcBorders/>
            <w:vAlign w:val="center"/>
          </w:tcPr>
          <w:p>
            <w:pPr>
              <w:pStyle w:val="TableContents"/>
              <w:bidi w:val="0"/>
              <w:spacing w:before="0" w:after="283"/>
              <w:jc w:val="left"/>
              <w:rPr>
                <w:sz w:val="4"/>
                <w:szCs w:val="4"/>
              </w:rPr>
            </w:pPr>
            <w:r>
              <w:rPr>
                <w:sz w:val="4"/>
                <w:szCs w:val="4"/>
              </w:rPr>
            </w:r>
          </w:p>
        </w:tc>
        <w:tc>
          <w:tcPr>
            <w:tcW w:w="1808"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  </w:t>
            </w:r>
            <w:r>
              <w:rPr/>
              <w:t>3.1</w:t>
            </w:r>
          </w:p>
        </w:tc>
        <w:tc>
          <w:tcPr>
            <w:tcW w:w="393" w:type="dxa"/>
            <w:tcBorders/>
            <w:vAlign w:val="bottom"/>
          </w:tcPr>
          <w:p>
            <w:pPr>
              <w:pStyle w:val="TableContents"/>
              <w:bidi w:val="0"/>
              <w:spacing w:before="0" w:after="283"/>
              <w:jc w:val="left"/>
              <w:rPr/>
            </w:pPr>
            <w:r>
              <w:rPr/>
              <w:t>  </w:t>
            </w:r>
          </w:p>
        </w:tc>
        <w:tc>
          <w:tcPr>
            <w:tcW w:w="3915" w:type="dxa"/>
            <w:tcBorders/>
          </w:tcPr>
          <w:p>
            <w:pPr>
              <w:pStyle w:val="TableContents"/>
              <w:bidi w:val="0"/>
              <w:spacing w:before="0" w:after="283"/>
              <w:jc w:val="left"/>
              <w:rPr/>
            </w:pPr>
            <w:hyperlink r:id="rId20">
              <w:r>
                <w:rPr>
                  <w:rStyle w:val="InternetLink"/>
                </w:rPr>
                <w:t xml:space="preserve">Amended and Restated Certificate of Incorporation of the Registrant, as amended. </w:t>
              </w:r>
            </w:hyperlink>
          </w:p>
        </w:tc>
        <w:tc>
          <w:tcPr>
            <w:tcW w:w="268"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10-Q</w:t>
            </w:r>
          </w:p>
        </w:tc>
        <w:tc>
          <w:tcPr>
            <w:tcW w:w="268"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center"/>
              <w:rPr/>
            </w:pPr>
            <w:r>
              <w:rPr/>
              <w:t>001-38327</w:t>
            </w:r>
          </w:p>
        </w:tc>
        <w:tc>
          <w:tcPr>
            <w:tcW w:w="268"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center"/>
              <w:rPr/>
            </w:pPr>
            <w:r>
              <w:rPr/>
              <w:t>3.1</w:t>
            </w:r>
          </w:p>
        </w:tc>
        <w:tc>
          <w:tcPr>
            <w:tcW w:w="268"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center"/>
              <w:rPr/>
            </w:pPr>
            <w:r>
              <w:rPr/>
              <w:t>August 12, 2025</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308" w:type="dxa"/>
            <w:gridSpan w:val="2"/>
            <w:tcBorders/>
            <w:vAlign w:val="center"/>
          </w:tcPr>
          <w:p>
            <w:pPr>
              <w:pStyle w:val="TableContents"/>
              <w:bidi w:val="0"/>
              <w:spacing w:before="0" w:after="283"/>
              <w:jc w:val="left"/>
              <w:rPr>
                <w:sz w:val="4"/>
                <w:szCs w:val="4"/>
              </w:rPr>
            </w:pPr>
            <w:r>
              <w:rPr>
                <w:sz w:val="4"/>
                <w:szCs w:val="4"/>
              </w:rPr>
            </w:r>
          </w:p>
        </w:tc>
        <w:tc>
          <w:tcPr>
            <w:tcW w:w="859" w:type="dxa"/>
            <w:gridSpan w:val="2"/>
            <w:tcBorders/>
            <w:vAlign w:val="center"/>
          </w:tcPr>
          <w:p>
            <w:pPr>
              <w:pStyle w:val="TableContents"/>
              <w:bidi w:val="0"/>
              <w:spacing w:before="0" w:after="283"/>
              <w:jc w:val="left"/>
              <w:rPr>
                <w:sz w:val="4"/>
                <w:szCs w:val="4"/>
              </w:rPr>
            </w:pPr>
            <w:r>
              <w:rPr>
                <w:sz w:val="4"/>
                <w:szCs w:val="4"/>
              </w:rPr>
            </w:r>
          </w:p>
        </w:tc>
        <w:tc>
          <w:tcPr>
            <w:tcW w:w="1211" w:type="dxa"/>
            <w:gridSpan w:val="2"/>
            <w:tcBorders/>
            <w:vAlign w:val="center"/>
          </w:tcPr>
          <w:p>
            <w:pPr>
              <w:pStyle w:val="TableContents"/>
              <w:bidi w:val="0"/>
              <w:spacing w:before="0" w:after="283"/>
              <w:jc w:val="left"/>
              <w:rPr>
                <w:sz w:val="4"/>
                <w:szCs w:val="4"/>
              </w:rPr>
            </w:pPr>
            <w:r>
              <w:rPr>
                <w:sz w:val="4"/>
                <w:szCs w:val="4"/>
              </w:rPr>
            </w:r>
          </w:p>
        </w:tc>
        <w:tc>
          <w:tcPr>
            <w:tcW w:w="1108" w:type="dxa"/>
            <w:gridSpan w:val="2"/>
            <w:tcBorders/>
            <w:vAlign w:val="center"/>
          </w:tcPr>
          <w:p>
            <w:pPr>
              <w:pStyle w:val="TableContents"/>
              <w:bidi w:val="0"/>
              <w:spacing w:before="0" w:after="283"/>
              <w:jc w:val="left"/>
              <w:rPr>
                <w:sz w:val="4"/>
                <w:szCs w:val="4"/>
              </w:rPr>
            </w:pPr>
            <w:r>
              <w:rPr>
                <w:sz w:val="4"/>
                <w:szCs w:val="4"/>
              </w:rPr>
            </w:r>
          </w:p>
        </w:tc>
        <w:tc>
          <w:tcPr>
            <w:tcW w:w="1808"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  </w:t>
            </w:r>
            <w:r>
              <w:rPr/>
              <w:t>3.2</w:t>
            </w:r>
          </w:p>
        </w:tc>
        <w:tc>
          <w:tcPr>
            <w:tcW w:w="393" w:type="dxa"/>
            <w:tcBorders/>
            <w:vAlign w:val="bottom"/>
          </w:tcPr>
          <w:p>
            <w:pPr>
              <w:pStyle w:val="TableContents"/>
              <w:bidi w:val="0"/>
              <w:spacing w:before="0" w:after="283"/>
              <w:jc w:val="left"/>
              <w:rPr/>
            </w:pPr>
            <w:r>
              <w:rPr/>
              <w:t>  </w:t>
            </w:r>
          </w:p>
        </w:tc>
        <w:tc>
          <w:tcPr>
            <w:tcW w:w="3915" w:type="dxa"/>
            <w:tcBorders/>
          </w:tcPr>
          <w:p>
            <w:pPr>
              <w:pStyle w:val="TableContents"/>
              <w:bidi w:val="0"/>
              <w:spacing w:before="0" w:after="283"/>
              <w:jc w:val="left"/>
              <w:rPr/>
            </w:pPr>
            <w:hyperlink r:id="rId21">
              <w:r>
                <w:rPr>
                  <w:rStyle w:val="InternetLink"/>
                </w:rPr>
                <w:t xml:space="preserve">Certificate of Amendment to the Registrant’s Amended and Restated Certificate of Incorporation, as amended </w:t>
              </w:r>
            </w:hyperlink>
          </w:p>
        </w:tc>
        <w:tc>
          <w:tcPr>
            <w:tcW w:w="268"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8-K</w:t>
            </w:r>
          </w:p>
        </w:tc>
        <w:tc>
          <w:tcPr>
            <w:tcW w:w="268"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center"/>
              <w:rPr/>
            </w:pPr>
            <w:r>
              <w:rPr/>
              <w:t>001-38327</w:t>
            </w:r>
          </w:p>
        </w:tc>
        <w:tc>
          <w:tcPr>
            <w:tcW w:w="268"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center"/>
              <w:rPr/>
            </w:pPr>
            <w:r>
              <w:rPr/>
              <w:t>3.1</w:t>
            </w:r>
          </w:p>
        </w:tc>
        <w:tc>
          <w:tcPr>
            <w:tcW w:w="268"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center"/>
              <w:rPr/>
            </w:pPr>
            <w:r>
              <w:rPr/>
              <w:t>April 22, 2026</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308" w:type="dxa"/>
            <w:gridSpan w:val="2"/>
            <w:tcBorders/>
            <w:vAlign w:val="center"/>
          </w:tcPr>
          <w:p>
            <w:pPr>
              <w:pStyle w:val="TableContents"/>
              <w:bidi w:val="0"/>
              <w:spacing w:before="0" w:after="283"/>
              <w:jc w:val="left"/>
              <w:rPr>
                <w:sz w:val="4"/>
                <w:szCs w:val="4"/>
              </w:rPr>
            </w:pPr>
            <w:r>
              <w:rPr>
                <w:sz w:val="4"/>
                <w:szCs w:val="4"/>
              </w:rPr>
            </w:r>
          </w:p>
        </w:tc>
        <w:tc>
          <w:tcPr>
            <w:tcW w:w="859" w:type="dxa"/>
            <w:gridSpan w:val="2"/>
            <w:tcBorders/>
            <w:vAlign w:val="center"/>
          </w:tcPr>
          <w:p>
            <w:pPr>
              <w:pStyle w:val="TableContents"/>
              <w:bidi w:val="0"/>
              <w:spacing w:before="0" w:after="283"/>
              <w:jc w:val="left"/>
              <w:rPr>
                <w:sz w:val="4"/>
                <w:szCs w:val="4"/>
              </w:rPr>
            </w:pPr>
            <w:r>
              <w:rPr>
                <w:sz w:val="4"/>
                <w:szCs w:val="4"/>
              </w:rPr>
            </w:r>
          </w:p>
        </w:tc>
        <w:tc>
          <w:tcPr>
            <w:tcW w:w="1211" w:type="dxa"/>
            <w:gridSpan w:val="2"/>
            <w:tcBorders/>
            <w:vAlign w:val="center"/>
          </w:tcPr>
          <w:p>
            <w:pPr>
              <w:pStyle w:val="TableContents"/>
              <w:bidi w:val="0"/>
              <w:spacing w:before="0" w:after="283"/>
              <w:jc w:val="left"/>
              <w:rPr>
                <w:sz w:val="4"/>
                <w:szCs w:val="4"/>
              </w:rPr>
            </w:pPr>
            <w:r>
              <w:rPr>
                <w:sz w:val="4"/>
                <w:szCs w:val="4"/>
              </w:rPr>
            </w:r>
          </w:p>
        </w:tc>
        <w:tc>
          <w:tcPr>
            <w:tcW w:w="1108" w:type="dxa"/>
            <w:gridSpan w:val="2"/>
            <w:tcBorders/>
            <w:vAlign w:val="center"/>
          </w:tcPr>
          <w:p>
            <w:pPr>
              <w:pStyle w:val="TableContents"/>
              <w:bidi w:val="0"/>
              <w:spacing w:before="0" w:after="283"/>
              <w:jc w:val="left"/>
              <w:rPr>
                <w:sz w:val="4"/>
                <w:szCs w:val="4"/>
              </w:rPr>
            </w:pPr>
            <w:r>
              <w:rPr>
                <w:sz w:val="4"/>
                <w:szCs w:val="4"/>
              </w:rPr>
            </w:r>
          </w:p>
        </w:tc>
        <w:tc>
          <w:tcPr>
            <w:tcW w:w="1808"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  </w:t>
            </w:r>
            <w:r>
              <w:rPr/>
              <w:t>3.3</w:t>
            </w:r>
          </w:p>
        </w:tc>
        <w:tc>
          <w:tcPr>
            <w:tcW w:w="393" w:type="dxa"/>
            <w:tcBorders/>
            <w:vAlign w:val="bottom"/>
          </w:tcPr>
          <w:p>
            <w:pPr>
              <w:pStyle w:val="TableContents"/>
              <w:bidi w:val="0"/>
              <w:spacing w:before="0" w:after="283"/>
              <w:jc w:val="left"/>
              <w:rPr/>
            </w:pPr>
            <w:r>
              <w:rPr/>
              <w:t>  </w:t>
            </w:r>
          </w:p>
        </w:tc>
        <w:tc>
          <w:tcPr>
            <w:tcW w:w="3915" w:type="dxa"/>
            <w:tcBorders/>
          </w:tcPr>
          <w:p>
            <w:pPr>
              <w:pStyle w:val="TableContents"/>
              <w:bidi w:val="0"/>
              <w:spacing w:before="0" w:after="283"/>
              <w:jc w:val="left"/>
              <w:rPr/>
            </w:pPr>
            <w:hyperlink r:id="rId22">
              <w:r>
                <w:rPr>
                  <w:rStyle w:val="InternetLink"/>
                </w:rPr>
                <w:t xml:space="preserve">Amended and Restated Bylaws of the Registrant. </w:t>
              </w:r>
            </w:hyperlink>
          </w:p>
        </w:tc>
        <w:tc>
          <w:tcPr>
            <w:tcW w:w="268"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S-1</w:t>
            </w:r>
          </w:p>
        </w:tc>
        <w:tc>
          <w:tcPr>
            <w:tcW w:w="268"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center"/>
              <w:rPr/>
            </w:pPr>
            <w:r>
              <w:rPr/>
              <w:t>333-220550</w:t>
            </w:r>
          </w:p>
        </w:tc>
        <w:tc>
          <w:tcPr>
            <w:tcW w:w="268"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center"/>
              <w:rPr/>
            </w:pPr>
            <w:r>
              <w:rPr/>
              <w:t>3.5</w:t>
            </w:r>
          </w:p>
        </w:tc>
        <w:tc>
          <w:tcPr>
            <w:tcW w:w="268"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center"/>
              <w:rPr/>
            </w:pPr>
            <w:r>
              <w:rPr/>
              <w:t>December 5, 2017</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308" w:type="dxa"/>
            <w:gridSpan w:val="2"/>
            <w:tcBorders/>
            <w:vAlign w:val="center"/>
          </w:tcPr>
          <w:p>
            <w:pPr>
              <w:pStyle w:val="TableContents"/>
              <w:bidi w:val="0"/>
              <w:spacing w:before="0" w:after="283"/>
              <w:jc w:val="left"/>
              <w:rPr>
                <w:sz w:val="4"/>
                <w:szCs w:val="4"/>
              </w:rPr>
            </w:pPr>
            <w:r>
              <w:rPr>
                <w:sz w:val="4"/>
                <w:szCs w:val="4"/>
              </w:rPr>
            </w:r>
          </w:p>
        </w:tc>
        <w:tc>
          <w:tcPr>
            <w:tcW w:w="859" w:type="dxa"/>
            <w:gridSpan w:val="2"/>
            <w:tcBorders/>
            <w:vAlign w:val="center"/>
          </w:tcPr>
          <w:p>
            <w:pPr>
              <w:pStyle w:val="TableContents"/>
              <w:bidi w:val="0"/>
              <w:spacing w:before="0" w:after="283"/>
              <w:jc w:val="left"/>
              <w:rPr>
                <w:sz w:val="4"/>
                <w:szCs w:val="4"/>
              </w:rPr>
            </w:pPr>
            <w:r>
              <w:rPr>
                <w:sz w:val="4"/>
                <w:szCs w:val="4"/>
              </w:rPr>
            </w:r>
          </w:p>
        </w:tc>
        <w:tc>
          <w:tcPr>
            <w:tcW w:w="1211" w:type="dxa"/>
            <w:gridSpan w:val="2"/>
            <w:tcBorders/>
            <w:vAlign w:val="center"/>
          </w:tcPr>
          <w:p>
            <w:pPr>
              <w:pStyle w:val="TableContents"/>
              <w:bidi w:val="0"/>
              <w:spacing w:before="0" w:after="283"/>
              <w:jc w:val="left"/>
              <w:rPr>
                <w:sz w:val="4"/>
                <w:szCs w:val="4"/>
              </w:rPr>
            </w:pPr>
            <w:r>
              <w:rPr>
                <w:sz w:val="4"/>
                <w:szCs w:val="4"/>
              </w:rPr>
            </w:r>
          </w:p>
        </w:tc>
        <w:tc>
          <w:tcPr>
            <w:tcW w:w="1108" w:type="dxa"/>
            <w:gridSpan w:val="2"/>
            <w:tcBorders/>
            <w:vAlign w:val="center"/>
          </w:tcPr>
          <w:p>
            <w:pPr>
              <w:pStyle w:val="TableContents"/>
              <w:bidi w:val="0"/>
              <w:spacing w:before="0" w:after="283"/>
              <w:jc w:val="left"/>
              <w:rPr>
                <w:sz w:val="4"/>
                <w:szCs w:val="4"/>
              </w:rPr>
            </w:pPr>
            <w:r>
              <w:rPr>
                <w:sz w:val="4"/>
                <w:szCs w:val="4"/>
              </w:rPr>
            </w:r>
          </w:p>
        </w:tc>
        <w:tc>
          <w:tcPr>
            <w:tcW w:w="1808"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  </w:t>
            </w:r>
            <w:r>
              <w:rPr/>
              <w:t>4.1</w:t>
            </w:r>
          </w:p>
        </w:tc>
        <w:tc>
          <w:tcPr>
            <w:tcW w:w="393" w:type="dxa"/>
            <w:tcBorders/>
            <w:vAlign w:val="bottom"/>
          </w:tcPr>
          <w:p>
            <w:pPr>
              <w:pStyle w:val="TableContents"/>
              <w:bidi w:val="0"/>
              <w:spacing w:before="0" w:after="283"/>
              <w:jc w:val="left"/>
              <w:rPr/>
            </w:pPr>
            <w:r>
              <w:rPr/>
              <w:t>  </w:t>
            </w:r>
          </w:p>
        </w:tc>
        <w:tc>
          <w:tcPr>
            <w:tcW w:w="3915" w:type="dxa"/>
            <w:tcBorders/>
          </w:tcPr>
          <w:p>
            <w:pPr>
              <w:pStyle w:val="TableContents"/>
              <w:bidi w:val="0"/>
              <w:spacing w:before="0" w:after="283"/>
              <w:jc w:val="left"/>
              <w:rPr/>
            </w:pPr>
            <w:hyperlink r:id="rId23">
              <w:r>
                <w:rPr>
                  <w:rStyle w:val="InternetLink"/>
                </w:rPr>
                <w:t xml:space="preserve">Form of Pre-Funded Warrant to Purchase Common Stock issued to the Investors </w:t>
              </w:r>
            </w:hyperlink>
          </w:p>
        </w:tc>
        <w:tc>
          <w:tcPr>
            <w:tcW w:w="268"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center"/>
              <w:rPr/>
            </w:pPr>
            <w:r>
              <w:rPr/>
              <w:t>8-K</w:t>
            </w:r>
          </w:p>
        </w:tc>
        <w:tc>
          <w:tcPr>
            <w:tcW w:w="268"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center"/>
              <w:rPr/>
            </w:pPr>
            <w:r>
              <w:rPr/>
              <w:t>001-38327</w:t>
            </w:r>
          </w:p>
        </w:tc>
        <w:tc>
          <w:tcPr>
            <w:tcW w:w="268"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center"/>
              <w:rPr/>
            </w:pPr>
            <w:r>
              <w:rPr/>
              <w:t>4.1</w:t>
            </w:r>
          </w:p>
        </w:tc>
        <w:tc>
          <w:tcPr>
            <w:tcW w:w="268"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center"/>
              <w:rPr/>
            </w:pPr>
            <w:r>
              <w:rPr/>
              <w:t>July 10,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98"/>
        <w:gridCol w:w="269"/>
        <w:gridCol w:w="4016"/>
        <w:gridCol w:w="201"/>
        <w:gridCol w:w="603"/>
        <w:gridCol w:w="201"/>
        <w:gridCol w:w="956"/>
        <w:gridCol w:w="201"/>
        <w:gridCol w:w="772"/>
        <w:gridCol w:w="201"/>
        <w:gridCol w:w="1887"/>
      </w:tblGrid>
      <w:tr>
        <w:trPr/>
        <w:tc>
          <w:tcPr>
            <w:tcW w:w="898"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4016"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r>
      <w:tr>
        <w:trPr/>
        <w:tc>
          <w:tcPr>
            <w:tcW w:w="89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401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4017" w:type="dxa"/>
            <w:gridSpan w:val="5"/>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r>
      <w:tr>
        <w:trPr/>
        <w:tc>
          <w:tcPr>
            <w:tcW w:w="898" w:type="dxa"/>
            <w:tcBorders/>
            <w:vAlign w:val="bottom"/>
          </w:tcPr>
          <w:p>
            <w:pPr>
              <w:pStyle w:val="TableContents"/>
              <w:bidi w:val="0"/>
              <w:spacing w:before="0" w:after="283"/>
              <w:jc w:val="center"/>
              <w:rPr>
                <w:b/>
              </w:rPr>
            </w:pPr>
            <w:r>
              <w:rPr>
                <w:b/>
              </w:rPr>
              <w:t xml:space="preserve">Exhibit </w:t>
              <w:br/>
              <w:t>Number</w:t>
            </w:r>
          </w:p>
        </w:tc>
        <w:tc>
          <w:tcPr>
            <w:tcW w:w="269" w:type="dxa"/>
            <w:tcBorders/>
            <w:vAlign w:val="bottom"/>
          </w:tcPr>
          <w:p>
            <w:pPr>
              <w:pStyle w:val="TableContents"/>
              <w:bidi w:val="0"/>
              <w:spacing w:before="0" w:after="283"/>
              <w:jc w:val="left"/>
              <w:rPr/>
            </w:pPr>
            <w:r>
              <w:rPr/>
              <w:t>  </w:t>
            </w:r>
          </w:p>
        </w:tc>
        <w:tc>
          <w:tcPr>
            <w:tcW w:w="40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c>
          <w:tcPr>
            <w:tcW w:w="201" w:type="dxa"/>
            <w:tcBorders/>
            <w:vAlign w:val="bottom"/>
          </w:tcPr>
          <w:p>
            <w:pPr>
              <w:pStyle w:val="TableContents"/>
              <w:bidi w:val="0"/>
              <w:spacing w:before="0" w:after="283"/>
              <w:jc w:val="left"/>
              <w:rPr/>
            </w:pPr>
            <w:r>
              <w:rPr/>
              <w:t>  </w:t>
            </w:r>
          </w:p>
        </w:tc>
        <w:tc>
          <w:tcPr>
            <w:tcW w:w="603"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201" w:type="dxa"/>
            <w:tcBorders/>
            <w:vAlign w:val="bottom"/>
          </w:tcPr>
          <w:p>
            <w:pPr>
              <w:pStyle w:val="TableContents"/>
              <w:bidi w:val="0"/>
              <w:spacing w:before="0" w:after="283"/>
              <w:jc w:val="left"/>
              <w:rPr/>
            </w:pPr>
            <w:r>
              <w:rPr/>
              <w:t>  </w:t>
            </w:r>
          </w:p>
        </w:tc>
        <w:tc>
          <w:tcPr>
            <w:tcW w:w="956"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201" w:type="dxa"/>
            <w:tcBorders/>
            <w:vAlign w:val="bottom"/>
          </w:tcPr>
          <w:p>
            <w:pPr>
              <w:pStyle w:val="TableContents"/>
              <w:bidi w:val="0"/>
              <w:spacing w:before="0" w:after="283"/>
              <w:jc w:val="left"/>
              <w:rPr/>
            </w:pPr>
            <w:r>
              <w:rPr/>
              <w:t>  </w:t>
            </w:r>
          </w:p>
        </w:tc>
        <w:tc>
          <w:tcPr>
            <w:tcW w:w="772"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201" w:type="dxa"/>
            <w:tcBorders/>
            <w:vAlign w:val="bottom"/>
          </w:tcPr>
          <w:p>
            <w:pPr>
              <w:pStyle w:val="TableContents"/>
              <w:bidi w:val="0"/>
              <w:spacing w:before="0" w:after="283"/>
              <w:jc w:val="left"/>
              <w:rPr/>
            </w:pPr>
            <w:r>
              <w:rPr/>
              <w:t>  </w:t>
            </w:r>
          </w:p>
        </w:tc>
        <w:tc>
          <w:tcPr>
            <w:tcW w:w="1887"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428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1157"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c>
          <w:tcPr>
            <w:tcW w:w="2088"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4.2</w:t>
            </w:r>
          </w:p>
        </w:tc>
        <w:tc>
          <w:tcPr>
            <w:tcW w:w="269" w:type="dxa"/>
            <w:tcBorders/>
            <w:vAlign w:val="bottom"/>
          </w:tcPr>
          <w:p>
            <w:pPr>
              <w:pStyle w:val="TableContents"/>
              <w:bidi w:val="0"/>
              <w:spacing w:before="0" w:after="283"/>
              <w:jc w:val="left"/>
              <w:rPr/>
            </w:pPr>
            <w:r>
              <w:rPr/>
              <w:t>  </w:t>
            </w:r>
          </w:p>
        </w:tc>
        <w:tc>
          <w:tcPr>
            <w:tcW w:w="4016" w:type="dxa"/>
            <w:tcBorders/>
          </w:tcPr>
          <w:p>
            <w:pPr>
              <w:pStyle w:val="TableContents"/>
              <w:bidi w:val="0"/>
              <w:spacing w:before="0" w:after="283"/>
              <w:jc w:val="left"/>
              <w:rPr/>
            </w:pPr>
            <w:hyperlink r:id="rId24">
              <w:r>
                <w:rPr>
                  <w:rStyle w:val="InternetLink"/>
                </w:rPr>
                <w:t>Specimen Certificate representing shares of common stock of the Registrant</w:t>
              </w:r>
            </w:hyperlink>
          </w:p>
        </w:tc>
        <w:tc>
          <w:tcPr>
            <w:tcW w:w="201"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center"/>
              <w:rPr/>
            </w:pPr>
            <w:r>
              <w:rPr/>
              <w:t>S-1</w:t>
            </w:r>
          </w:p>
        </w:tc>
        <w:tc>
          <w:tcPr>
            <w:tcW w:w="201"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center"/>
              <w:rPr/>
            </w:pPr>
            <w:r>
              <w:rPr/>
              <w:t>333-220550</w:t>
            </w:r>
          </w:p>
        </w:tc>
        <w:tc>
          <w:tcPr>
            <w:tcW w:w="201"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center"/>
              <w:rPr/>
            </w:pPr>
            <w:r>
              <w:rPr/>
              <w:t>4.1</w:t>
            </w:r>
          </w:p>
        </w:tc>
        <w:tc>
          <w:tcPr>
            <w:tcW w:w="201"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center"/>
              <w:rPr/>
            </w:pPr>
            <w:r>
              <w:rPr/>
              <w:t>December 5, 2017</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428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1157"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c>
          <w:tcPr>
            <w:tcW w:w="2088"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5.1*</w:t>
            </w:r>
          </w:p>
        </w:tc>
        <w:tc>
          <w:tcPr>
            <w:tcW w:w="269" w:type="dxa"/>
            <w:tcBorders/>
            <w:vAlign w:val="bottom"/>
          </w:tcPr>
          <w:p>
            <w:pPr>
              <w:pStyle w:val="TableContents"/>
              <w:bidi w:val="0"/>
              <w:spacing w:before="0" w:after="283"/>
              <w:jc w:val="left"/>
              <w:rPr/>
            </w:pPr>
            <w:r>
              <w:rPr/>
              <w:t>  </w:t>
            </w:r>
          </w:p>
        </w:tc>
        <w:tc>
          <w:tcPr>
            <w:tcW w:w="4016" w:type="dxa"/>
            <w:tcBorders/>
          </w:tcPr>
          <w:p>
            <w:pPr>
              <w:pStyle w:val="TableContents"/>
              <w:bidi w:val="0"/>
              <w:spacing w:before="0" w:after="283"/>
              <w:jc w:val="left"/>
              <w:rPr/>
            </w:pPr>
            <w:hyperlink w:anchor="d136967dex51.htm">
              <w:r>
                <w:rPr>
                  <w:rStyle w:val="InternetLink"/>
                </w:rPr>
                <w:t xml:space="preserve">Opinion of Cooley LLP. </w:t>
              </w:r>
            </w:hyperlink>
          </w:p>
        </w:tc>
        <w:tc>
          <w:tcPr>
            <w:tcW w:w="201"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428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1157"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c>
          <w:tcPr>
            <w:tcW w:w="2088"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10.1</w:t>
            </w:r>
          </w:p>
        </w:tc>
        <w:tc>
          <w:tcPr>
            <w:tcW w:w="269" w:type="dxa"/>
            <w:tcBorders/>
            <w:vAlign w:val="bottom"/>
          </w:tcPr>
          <w:p>
            <w:pPr>
              <w:pStyle w:val="TableContents"/>
              <w:bidi w:val="0"/>
              <w:spacing w:before="0" w:after="283"/>
              <w:jc w:val="left"/>
              <w:rPr/>
            </w:pPr>
            <w:r>
              <w:rPr/>
              <w:t>  </w:t>
            </w:r>
          </w:p>
        </w:tc>
        <w:tc>
          <w:tcPr>
            <w:tcW w:w="4016" w:type="dxa"/>
            <w:tcBorders/>
          </w:tcPr>
          <w:p>
            <w:pPr>
              <w:pStyle w:val="TableContents"/>
              <w:bidi w:val="0"/>
              <w:spacing w:before="0" w:after="283"/>
              <w:jc w:val="left"/>
              <w:rPr/>
            </w:pPr>
            <w:hyperlink r:id="rId25">
              <w:r>
                <w:rPr>
                  <w:rStyle w:val="InternetLink"/>
                </w:rPr>
                <w:t>Form of Securities Purchase Agreement, dated July 9, 2026, by and among Cue Biopharma, Inc. and the Investors.</w:t>
              </w:r>
            </w:hyperlink>
          </w:p>
        </w:tc>
        <w:tc>
          <w:tcPr>
            <w:tcW w:w="201"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center"/>
              <w:rPr/>
            </w:pPr>
            <w:r>
              <w:rPr/>
              <w:t>8-K</w:t>
            </w:r>
          </w:p>
        </w:tc>
        <w:tc>
          <w:tcPr>
            <w:tcW w:w="201"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center"/>
              <w:rPr/>
            </w:pPr>
            <w:r>
              <w:rPr/>
              <w:t>001-38327</w:t>
            </w:r>
          </w:p>
        </w:tc>
        <w:tc>
          <w:tcPr>
            <w:tcW w:w="201"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center"/>
              <w:rPr/>
            </w:pPr>
            <w:r>
              <w:rPr/>
              <w:t>10.1</w:t>
            </w:r>
          </w:p>
        </w:tc>
        <w:tc>
          <w:tcPr>
            <w:tcW w:w="201"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center"/>
              <w:rPr/>
            </w:pPr>
            <w:r>
              <w:rPr/>
              <w:t>July 10, 2026</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428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1157" w:type="dxa"/>
            <w:gridSpan w:val="2"/>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c>
          <w:tcPr>
            <w:tcW w:w="2088"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10.2</w:t>
            </w:r>
          </w:p>
        </w:tc>
        <w:tc>
          <w:tcPr>
            <w:tcW w:w="269" w:type="dxa"/>
            <w:tcBorders/>
            <w:vAlign w:val="bottom"/>
          </w:tcPr>
          <w:p>
            <w:pPr>
              <w:pStyle w:val="TableContents"/>
              <w:bidi w:val="0"/>
              <w:spacing w:before="0" w:after="283"/>
              <w:jc w:val="left"/>
              <w:rPr/>
            </w:pPr>
            <w:r>
              <w:rPr/>
              <w:t>  </w:t>
            </w:r>
          </w:p>
        </w:tc>
        <w:tc>
          <w:tcPr>
            <w:tcW w:w="4016" w:type="dxa"/>
            <w:tcBorders/>
          </w:tcPr>
          <w:p>
            <w:pPr>
              <w:pStyle w:val="TableContents"/>
              <w:bidi w:val="0"/>
              <w:spacing w:before="0" w:after="283"/>
              <w:jc w:val="left"/>
              <w:rPr/>
            </w:pPr>
            <w:hyperlink r:id="rId26">
              <w:r>
                <w:rPr>
                  <w:rStyle w:val="InternetLink"/>
                </w:rPr>
                <w:t>Form of Registration Rights Agreement, dated July 9, 2026, by and among Cue Biopharma, Inc. and the Investors.</w:t>
              </w:r>
            </w:hyperlink>
          </w:p>
        </w:tc>
        <w:tc>
          <w:tcPr>
            <w:tcW w:w="201"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center"/>
              <w:rPr/>
            </w:pPr>
            <w:r>
              <w:rPr/>
              <w:t>8-K</w:t>
            </w:r>
          </w:p>
        </w:tc>
        <w:tc>
          <w:tcPr>
            <w:tcW w:w="201"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center"/>
              <w:rPr/>
            </w:pPr>
            <w:r>
              <w:rPr/>
              <w:t>001-38327</w:t>
            </w:r>
          </w:p>
        </w:tc>
        <w:tc>
          <w:tcPr>
            <w:tcW w:w="201"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center"/>
              <w:rPr/>
            </w:pPr>
            <w:r>
              <w:rPr/>
              <w:t>10.2</w:t>
            </w:r>
          </w:p>
        </w:tc>
        <w:tc>
          <w:tcPr>
            <w:tcW w:w="201"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center"/>
              <w:rPr/>
            </w:pPr>
            <w:r>
              <w:rPr/>
              <w:t>July 10, 2026</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10"/>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23.1*</w:t>
            </w:r>
          </w:p>
        </w:tc>
        <w:tc>
          <w:tcPr>
            <w:tcW w:w="269" w:type="dxa"/>
            <w:tcBorders/>
            <w:vAlign w:val="bottom"/>
          </w:tcPr>
          <w:p>
            <w:pPr>
              <w:pStyle w:val="TableContents"/>
              <w:bidi w:val="0"/>
              <w:spacing w:before="0" w:after="283"/>
              <w:jc w:val="left"/>
              <w:rPr/>
            </w:pPr>
            <w:r>
              <w:rPr/>
              <w:t>  </w:t>
            </w:r>
          </w:p>
        </w:tc>
        <w:tc>
          <w:tcPr>
            <w:tcW w:w="9038" w:type="dxa"/>
            <w:gridSpan w:val="9"/>
            <w:tcBorders/>
          </w:tcPr>
          <w:p>
            <w:pPr>
              <w:pStyle w:val="TableContents"/>
              <w:bidi w:val="0"/>
              <w:spacing w:before="0" w:after="283"/>
              <w:jc w:val="left"/>
              <w:rPr/>
            </w:pPr>
            <w:hyperlink w:anchor="d136967dex231.htm">
              <w:r>
                <w:rPr>
                  <w:rStyle w:val="InternetLink"/>
                </w:rPr>
                <w:t xml:space="preserve">Consent of independent registered public accounting firm.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10"/>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23.2*</w:t>
            </w:r>
          </w:p>
        </w:tc>
        <w:tc>
          <w:tcPr>
            <w:tcW w:w="269" w:type="dxa"/>
            <w:tcBorders/>
            <w:vAlign w:val="bottom"/>
          </w:tcPr>
          <w:p>
            <w:pPr>
              <w:pStyle w:val="TableContents"/>
              <w:bidi w:val="0"/>
              <w:spacing w:before="0" w:after="283"/>
              <w:jc w:val="left"/>
              <w:rPr/>
            </w:pPr>
            <w:r>
              <w:rPr/>
              <w:t>  </w:t>
            </w:r>
          </w:p>
        </w:tc>
        <w:tc>
          <w:tcPr>
            <w:tcW w:w="9038" w:type="dxa"/>
            <w:gridSpan w:val="9"/>
            <w:tcBorders/>
          </w:tcPr>
          <w:p>
            <w:pPr>
              <w:pStyle w:val="TableContents"/>
              <w:bidi w:val="0"/>
              <w:spacing w:before="0" w:after="283"/>
              <w:jc w:val="left"/>
              <w:rPr/>
            </w:pPr>
            <w:hyperlink w:anchor="d136967dex51.htm">
              <w:r>
                <w:rPr>
                  <w:rStyle w:val="InternetLink"/>
                </w:rPr>
                <w:t xml:space="preserve">Consent of Cooley LLP (included in Exhibit 5.1).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10"/>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24.1*</w:t>
            </w:r>
          </w:p>
        </w:tc>
        <w:tc>
          <w:tcPr>
            <w:tcW w:w="269" w:type="dxa"/>
            <w:tcBorders/>
            <w:vAlign w:val="bottom"/>
          </w:tcPr>
          <w:p>
            <w:pPr>
              <w:pStyle w:val="TableContents"/>
              <w:bidi w:val="0"/>
              <w:spacing w:before="0" w:after="283"/>
              <w:jc w:val="left"/>
              <w:rPr/>
            </w:pPr>
            <w:r>
              <w:rPr/>
              <w:t>  </w:t>
            </w:r>
          </w:p>
        </w:tc>
        <w:tc>
          <w:tcPr>
            <w:tcW w:w="9038" w:type="dxa"/>
            <w:gridSpan w:val="9"/>
            <w:tcBorders/>
          </w:tcPr>
          <w:p>
            <w:pPr>
              <w:pStyle w:val="TableContents"/>
              <w:bidi w:val="0"/>
              <w:spacing w:before="0" w:after="283"/>
              <w:jc w:val="left"/>
              <w:rPr/>
            </w:pPr>
            <w:hyperlink w:anchor="sig">
              <w:r>
                <w:rPr>
                  <w:rStyle w:val="InternetLink"/>
                </w:rPr>
                <w:t xml:space="preserve">Power of Attorney (included on signature page hereto).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10"/>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107*</w:t>
            </w:r>
          </w:p>
        </w:tc>
        <w:tc>
          <w:tcPr>
            <w:tcW w:w="269" w:type="dxa"/>
            <w:tcBorders/>
            <w:vAlign w:val="bottom"/>
          </w:tcPr>
          <w:p>
            <w:pPr>
              <w:pStyle w:val="TableContents"/>
              <w:bidi w:val="0"/>
              <w:spacing w:before="0" w:after="283"/>
              <w:jc w:val="left"/>
              <w:rPr/>
            </w:pPr>
            <w:r>
              <w:rPr/>
              <w:t>  </w:t>
            </w:r>
          </w:p>
        </w:tc>
        <w:tc>
          <w:tcPr>
            <w:tcW w:w="9038" w:type="dxa"/>
            <w:gridSpan w:val="9"/>
            <w:tcBorders/>
          </w:tcPr>
          <w:p>
            <w:pPr>
              <w:pStyle w:val="TableContents"/>
              <w:bidi w:val="0"/>
              <w:spacing w:before="0" w:after="283"/>
              <w:jc w:val="left"/>
              <w:rPr/>
            </w:pPr>
            <w:hyperlink w:anchor="d136967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paragraphs (1)(i), (1)(ii) and (1)(iii) do not apply if the information required to be included in a post-effective amendment by those paragraphs is contained in reports filed with or furnished to the SEC by the registrant pursuant to Section 13 or 15(d) of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ig"/>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the City of Boston, Commonwealth of Massachusetts on August 12,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Cue Biopharma,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Shao-Lee Lin, M.D., Ph.D.</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Shao-Lee Lin, M.D., Ph.D.</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Shao-Lee Lin, M.D., Ph.D., and Sumita Ray, J.D.,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9"/>
        <w:gridCol w:w="120"/>
        <w:gridCol w:w="3491"/>
        <w:gridCol w:w="199"/>
        <w:gridCol w:w="1966"/>
      </w:tblGrid>
      <w:tr>
        <w:trPr/>
        <w:tc>
          <w:tcPr>
            <w:tcW w:w="44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4429"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491" w:type="dxa"/>
            <w:tcBorders/>
            <w:vAlign w:val="bottom"/>
          </w:tcPr>
          <w:p>
            <w:pPr>
              <w:pStyle w:val="TableContents"/>
              <w:bidi w:val="0"/>
              <w:spacing w:before="0" w:after="283"/>
              <w:jc w:val="center"/>
              <w:rPr>
                <w:b/>
              </w:rPr>
            </w:pPr>
            <w:r>
              <w:rPr>
                <w:b/>
              </w:rPr>
              <w:t>Title</w:t>
            </w:r>
          </w:p>
        </w:tc>
        <w:tc>
          <w:tcPr>
            <w:tcW w:w="199" w:type="dxa"/>
            <w:tcBorders/>
            <w:vAlign w:val="bottom"/>
          </w:tcPr>
          <w:p>
            <w:pPr>
              <w:pStyle w:val="TableContents"/>
              <w:bidi w:val="0"/>
              <w:spacing w:before="0" w:after="283"/>
              <w:jc w:val="left"/>
              <w:rPr/>
            </w:pPr>
            <w:r>
              <w:rPr/>
              <w:t> </w:t>
            </w:r>
          </w:p>
        </w:tc>
        <w:tc>
          <w:tcPr>
            <w:tcW w:w="1966" w:type="dxa"/>
            <w:tcBorders/>
            <w:vAlign w:val="bottom"/>
          </w:tcPr>
          <w:p>
            <w:pPr>
              <w:pStyle w:val="TableContents"/>
              <w:bidi w:val="0"/>
              <w:spacing w:before="0" w:after="283"/>
              <w:jc w:val="center"/>
              <w:rPr>
                <w:b/>
              </w:rPr>
            </w:pPr>
            <w:r>
              <w:rPr>
                <w:b/>
              </w:rPr>
              <w:t>Date</w:t>
            </w:r>
          </w:p>
        </w:tc>
      </w:tr>
      <w:tr>
        <w:trPr>
          <w:trHeight w:val="240" w:hRule="atLeast"/>
        </w:trPr>
        <w:tc>
          <w:tcPr>
            <w:tcW w:w="4429"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429" w:type="dxa"/>
            <w:tcBorders/>
          </w:tcPr>
          <w:p>
            <w:pPr>
              <w:pStyle w:val="TableContents"/>
              <w:pBdr>
                <w:bottom w:val="single" w:sz="2" w:space="1" w:color="000000"/>
              </w:pBdr>
              <w:bidi w:val="0"/>
              <w:spacing w:before="0" w:after="0"/>
              <w:jc w:val="center"/>
              <w:rPr>
                <w:rFonts w:ascii="Times New Roman" w:hAnsi="Times New Roman"/>
                <w:sz w:val="19"/>
              </w:rPr>
            </w:pPr>
            <w:r>
              <w:rPr>
                <w:rFonts w:ascii="Times New Roman" w:hAnsi="Times New Roman"/>
                <w:sz w:val="19"/>
              </w:rPr>
              <w:t>/s/ Shao-Lee Lin, M.D., Ph.D.</w:t>
            </w:r>
          </w:p>
          <w:p>
            <w:pPr>
              <w:pStyle w:val="TableContents"/>
              <w:bidi w:val="0"/>
              <w:spacing w:before="0" w:after="20"/>
              <w:jc w:val="center"/>
              <w:rPr>
                <w:rFonts w:ascii="Times New Roman" w:hAnsi="Times New Roman"/>
                <w:sz w:val="19"/>
              </w:rPr>
            </w:pPr>
            <w:r>
              <w:rPr>
                <w:rFonts w:ascii="Times New Roman" w:hAnsi="Times New Roman"/>
                <w:sz w:val="19"/>
              </w:rPr>
              <w:t>Shao-Lee Lin, M.D., Ph.D.</w:t>
            </w:r>
          </w:p>
        </w:tc>
        <w:tc>
          <w:tcPr>
            <w:tcW w:w="120" w:type="dxa"/>
            <w:tcBorders/>
            <w:vAlign w:val="bottom"/>
          </w:tcPr>
          <w:p>
            <w:pPr>
              <w:pStyle w:val="TableContents"/>
              <w:bidi w:val="0"/>
              <w:spacing w:before="0" w:after="283"/>
              <w:jc w:val="left"/>
              <w:rPr/>
            </w:pPr>
            <w:r>
              <w:rPr/>
              <w:t>  </w:t>
            </w:r>
          </w:p>
        </w:tc>
        <w:tc>
          <w:tcPr>
            <w:tcW w:w="3491" w:type="dxa"/>
            <w:tcBorders/>
          </w:tcPr>
          <w:p>
            <w:pPr>
              <w:pStyle w:val="TableContents"/>
              <w:bidi w:val="0"/>
              <w:spacing w:before="0" w:after="0"/>
              <w:jc w:val="center"/>
              <w:rPr>
                <w:rFonts w:ascii="Times New Roman" w:hAnsi="Times New Roman"/>
                <w:sz w:val="19"/>
              </w:rPr>
            </w:pPr>
            <w:r>
              <w:rPr>
                <w:rFonts w:ascii="Times New Roman" w:hAnsi="Times New Roman"/>
                <w:sz w:val="19"/>
              </w:rPr>
              <w:t>President and Chief Executive Officer and Director</w:t>
            </w:r>
          </w:p>
          <w:p>
            <w:pPr>
              <w:pStyle w:val="TableContents"/>
              <w:bidi w:val="0"/>
              <w:spacing w:before="0" w:after="20"/>
              <w:jc w:val="center"/>
              <w:rPr>
                <w:rFonts w:ascii="Times New Roman" w:hAnsi="Times New Roman"/>
                <w:sz w:val="19"/>
              </w:rPr>
            </w:pPr>
            <w:r>
              <w:rPr>
                <w:rFonts w:ascii="Times New Roman" w:hAnsi="Times New Roman"/>
                <w:sz w:val="19"/>
              </w:rPr>
              <w:t>(Principal Executive Officer)</w:t>
            </w:r>
          </w:p>
        </w:tc>
        <w:tc>
          <w:tcPr>
            <w:tcW w:w="199"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August 12, 2026</w:t>
            </w:r>
          </w:p>
        </w:tc>
      </w:tr>
      <w:tr>
        <w:trPr>
          <w:trHeight w:val="240" w:hRule="atLeast"/>
        </w:trPr>
        <w:tc>
          <w:tcPr>
            <w:tcW w:w="4429"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429" w:type="dxa"/>
            <w:tcBorders/>
          </w:tcPr>
          <w:p>
            <w:pPr>
              <w:pStyle w:val="TableContents"/>
              <w:pBdr>
                <w:bottom w:val="single" w:sz="2" w:space="1" w:color="000000"/>
              </w:pBdr>
              <w:bidi w:val="0"/>
              <w:spacing w:before="0" w:after="0"/>
              <w:jc w:val="center"/>
              <w:rPr>
                <w:rFonts w:ascii="Times New Roman" w:hAnsi="Times New Roman"/>
                <w:sz w:val="19"/>
              </w:rPr>
            </w:pPr>
            <w:r>
              <w:rPr>
                <w:rFonts w:ascii="Times New Roman" w:hAnsi="Times New Roman"/>
                <w:sz w:val="19"/>
              </w:rPr>
              <w:t>/s/ James Ahlers</w:t>
            </w:r>
          </w:p>
          <w:p>
            <w:pPr>
              <w:pStyle w:val="TableContents"/>
              <w:bidi w:val="0"/>
              <w:spacing w:before="0" w:after="20"/>
              <w:jc w:val="center"/>
              <w:rPr>
                <w:rFonts w:ascii="Times New Roman" w:hAnsi="Times New Roman"/>
                <w:sz w:val="19"/>
              </w:rPr>
            </w:pPr>
            <w:r>
              <w:rPr>
                <w:rFonts w:ascii="Times New Roman" w:hAnsi="Times New Roman"/>
                <w:sz w:val="19"/>
              </w:rPr>
              <w:t>James Ahlers</w:t>
            </w:r>
          </w:p>
        </w:tc>
        <w:tc>
          <w:tcPr>
            <w:tcW w:w="120" w:type="dxa"/>
            <w:tcBorders/>
            <w:vAlign w:val="bottom"/>
          </w:tcPr>
          <w:p>
            <w:pPr>
              <w:pStyle w:val="TableContents"/>
              <w:bidi w:val="0"/>
              <w:spacing w:before="0" w:after="283"/>
              <w:jc w:val="left"/>
              <w:rPr/>
            </w:pPr>
            <w:r>
              <w:rPr/>
              <w:t>  </w:t>
            </w:r>
          </w:p>
        </w:tc>
        <w:tc>
          <w:tcPr>
            <w:tcW w:w="3491" w:type="dxa"/>
            <w:tcBorders/>
          </w:tcPr>
          <w:p>
            <w:pPr>
              <w:pStyle w:val="TableContents"/>
              <w:bidi w:val="0"/>
              <w:spacing w:before="0" w:after="0"/>
              <w:jc w:val="center"/>
              <w:rPr>
                <w:rFonts w:ascii="Times New Roman" w:hAnsi="Times New Roman"/>
                <w:sz w:val="19"/>
              </w:rPr>
            </w:pPr>
            <w:r>
              <w:rPr>
                <w:rFonts w:ascii="Times New Roman" w:hAnsi="Times New Roman"/>
                <w:sz w:val="19"/>
              </w:rPr>
              <w:t>Chief Financial Officer</w:t>
            </w:r>
          </w:p>
          <w:p>
            <w:pPr>
              <w:pStyle w:val="TableContents"/>
              <w:bidi w:val="0"/>
              <w:spacing w:before="0" w:after="20"/>
              <w:jc w:val="center"/>
              <w:rPr>
                <w:rFonts w:ascii="Times New Roman" w:hAnsi="Times New Roman"/>
                <w:sz w:val="19"/>
              </w:rPr>
            </w:pPr>
            <w:r>
              <w:rPr>
                <w:rFonts w:ascii="Times New Roman" w:hAnsi="Times New Roman"/>
                <w:sz w:val="19"/>
              </w:rPr>
              <w:t>(Principal Financial Officer)</w:t>
            </w:r>
          </w:p>
        </w:tc>
        <w:tc>
          <w:tcPr>
            <w:tcW w:w="199"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August 12, 2026</w:t>
            </w:r>
          </w:p>
        </w:tc>
      </w:tr>
      <w:tr>
        <w:trPr>
          <w:trHeight w:val="240" w:hRule="atLeast"/>
        </w:trPr>
        <w:tc>
          <w:tcPr>
            <w:tcW w:w="4429"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429" w:type="dxa"/>
            <w:tcBorders/>
          </w:tcPr>
          <w:p>
            <w:pPr>
              <w:pStyle w:val="TableContents"/>
              <w:pBdr>
                <w:bottom w:val="single" w:sz="2" w:space="1" w:color="000000"/>
              </w:pBdr>
              <w:bidi w:val="0"/>
              <w:spacing w:before="0" w:after="0"/>
              <w:jc w:val="center"/>
              <w:rPr>
                <w:rFonts w:ascii="Times New Roman" w:hAnsi="Times New Roman"/>
                <w:sz w:val="19"/>
              </w:rPr>
            </w:pPr>
            <w:r>
              <w:rPr>
                <w:rFonts w:ascii="Times New Roman" w:hAnsi="Times New Roman"/>
                <w:sz w:val="19"/>
              </w:rPr>
              <w:t>/s/ Michael Meluzio</w:t>
            </w:r>
          </w:p>
          <w:p>
            <w:pPr>
              <w:pStyle w:val="TableContents"/>
              <w:bidi w:val="0"/>
              <w:spacing w:before="0" w:after="20"/>
              <w:jc w:val="center"/>
              <w:rPr>
                <w:rFonts w:ascii="Times New Roman" w:hAnsi="Times New Roman"/>
                <w:sz w:val="19"/>
              </w:rPr>
            </w:pPr>
            <w:r>
              <w:rPr>
                <w:rFonts w:ascii="Times New Roman" w:hAnsi="Times New Roman"/>
                <w:sz w:val="19"/>
              </w:rPr>
              <w:t>Michael Meluzio</w:t>
            </w:r>
          </w:p>
        </w:tc>
        <w:tc>
          <w:tcPr>
            <w:tcW w:w="120" w:type="dxa"/>
            <w:tcBorders/>
            <w:vAlign w:val="bottom"/>
          </w:tcPr>
          <w:p>
            <w:pPr>
              <w:pStyle w:val="TableContents"/>
              <w:bidi w:val="0"/>
              <w:spacing w:before="0" w:after="283"/>
              <w:jc w:val="left"/>
              <w:rPr/>
            </w:pPr>
            <w:r>
              <w:rPr/>
              <w:t>  </w:t>
            </w:r>
          </w:p>
        </w:tc>
        <w:tc>
          <w:tcPr>
            <w:tcW w:w="3491" w:type="dxa"/>
            <w:tcBorders/>
          </w:tcPr>
          <w:p>
            <w:pPr>
              <w:pStyle w:val="TableContents"/>
              <w:bidi w:val="0"/>
              <w:spacing w:before="0" w:after="0"/>
              <w:jc w:val="center"/>
              <w:rPr>
                <w:rFonts w:ascii="Times New Roman" w:hAnsi="Times New Roman"/>
                <w:sz w:val="19"/>
              </w:rPr>
            </w:pPr>
            <w:r>
              <w:rPr>
                <w:rFonts w:ascii="Times New Roman" w:hAnsi="Times New Roman"/>
                <w:sz w:val="19"/>
              </w:rPr>
              <w:t>Vice President, Principal Accounting Officer</w:t>
            </w:r>
          </w:p>
          <w:p>
            <w:pPr>
              <w:pStyle w:val="TableContents"/>
              <w:bidi w:val="0"/>
              <w:spacing w:before="0" w:after="20"/>
              <w:jc w:val="center"/>
              <w:rPr>
                <w:rFonts w:ascii="Times New Roman" w:hAnsi="Times New Roman"/>
                <w:sz w:val="19"/>
              </w:rPr>
            </w:pPr>
            <w:r>
              <w:rPr>
                <w:rFonts w:ascii="Times New Roman" w:hAnsi="Times New Roman"/>
                <w:sz w:val="19"/>
              </w:rPr>
              <w:t>(Principal Accounting Officer)</w:t>
            </w:r>
          </w:p>
        </w:tc>
        <w:tc>
          <w:tcPr>
            <w:tcW w:w="199"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August 12, 2026</w:t>
            </w:r>
          </w:p>
        </w:tc>
      </w:tr>
      <w:tr>
        <w:trPr>
          <w:trHeight w:val="240" w:hRule="atLeast"/>
        </w:trPr>
        <w:tc>
          <w:tcPr>
            <w:tcW w:w="4429"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429" w:type="dxa"/>
            <w:tcBorders/>
          </w:tcPr>
          <w:p>
            <w:pPr>
              <w:pStyle w:val="TableContents"/>
              <w:pBdr>
                <w:bottom w:val="single" w:sz="2" w:space="1" w:color="000000"/>
              </w:pBdr>
              <w:bidi w:val="0"/>
              <w:spacing w:before="0" w:after="0"/>
              <w:jc w:val="center"/>
              <w:rPr>
                <w:rFonts w:ascii="Times New Roman" w:hAnsi="Times New Roman"/>
                <w:sz w:val="19"/>
              </w:rPr>
            </w:pPr>
            <w:r>
              <w:rPr>
                <w:rFonts w:ascii="Times New Roman" w:hAnsi="Times New Roman"/>
                <w:sz w:val="19"/>
              </w:rPr>
              <w:t>/s/ Pasha Sarraf, M.D., Ph.D.</w:t>
            </w:r>
          </w:p>
          <w:p>
            <w:pPr>
              <w:pStyle w:val="TableContents"/>
              <w:bidi w:val="0"/>
              <w:spacing w:before="0" w:after="20"/>
              <w:jc w:val="center"/>
              <w:rPr>
                <w:rFonts w:ascii="Times New Roman" w:hAnsi="Times New Roman"/>
                <w:sz w:val="19"/>
              </w:rPr>
            </w:pPr>
            <w:r>
              <w:rPr>
                <w:rFonts w:ascii="Times New Roman" w:hAnsi="Times New Roman"/>
                <w:sz w:val="19"/>
              </w:rPr>
              <w:t>Pasha Sarraf, M.D., Ph.D.</w:t>
            </w:r>
          </w:p>
        </w:tc>
        <w:tc>
          <w:tcPr>
            <w:tcW w:w="120" w:type="dxa"/>
            <w:tcBorders/>
            <w:vAlign w:val="bottom"/>
          </w:tcPr>
          <w:p>
            <w:pPr>
              <w:pStyle w:val="TableContents"/>
              <w:bidi w:val="0"/>
              <w:spacing w:before="0" w:after="283"/>
              <w:jc w:val="left"/>
              <w:rPr/>
            </w:pPr>
            <w:r>
              <w:rPr/>
              <w:t>  </w:t>
            </w:r>
          </w:p>
        </w:tc>
        <w:tc>
          <w:tcPr>
            <w:tcW w:w="3491" w:type="dxa"/>
            <w:tcBorders/>
          </w:tcPr>
          <w:p>
            <w:pPr>
              <w:pStyle w:val="TableContents"/>
              <w:bidi w:val="0"/>
              <w:spacing w:before="0" w:after="283"/>
              <w:jc w:val="center"/>
              <w:rPr/>
            </w:pPr>
            <w:r>
              <w:rPr/>
              <w:t>Chairman of the Board</w:t>
            </w:r>
          </w:p>
        </w:tc>
        <w:tc>
          <w:tcPr>
            <w:tcW w:w="199"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August 12, 2026</w:t>
            </w:r>
          </w:p>
        </w:tc>
      </w:tr>
      <w:tr>
        <w:trPr>
          <w:trHeight w:val="240" w:hRule="atLeast"/>
        </w:trPr>
        <w:tc>
          <w:tcPr>
            <w:tcW w:w="4429"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429" w:type="dxa"/>
            <w:tcBorders/>
          </w:tcPr>
          <w:p>
            <w:pPr>
              <w:pStyle w:val="TableContents"/>
              <w:pBdr>
                <w:bottom w:val="single" w:sz="2" w:space="1" w:color="000000"/>
              </w:pBdr>
              <w:bidi w:val="0"/>
              <w:spacing w:before="0" w:after="0"/>
              <w:jc w:val="center"/>
              <w:rPr>
                <w:rFonts w:ascii="Times New Roman" w:hAnsi="Times New Roman"/>
                <w:sz w:val="19"/>
              </w:rPr>
            </w:pPr>
            <w:r>
              <w:rPr>
                <w:rFonts w:ascii="Times New Roman" w:hAnsi="Times New Roman"/>
                <w:sz w:val="19"/>
              </w:rPr>
              <w:t>/s/ Daniel Camardo</w:t>
            </w:r>
          </w:p>
          <w:p>
            <w:pPr>
              <w:pStyle w:val="TableContents"/>
              <w:bidi w:val="0"/>
              <w:spacing w:before="0" w:after="20"/>
              <w:jc w:val="center"/>
              <w:rPr>
                <w:rFonts w:ascii="Times New Roman" w:hAnsi="Times New Roman"/>
                <w:sz w:val="19"/>
              </w:rPr>
            </w:pPr>
            <w:r>
              <w:rPr>
                <w:rFonts w:ascii="Times New Roman" w:hAnsi="Times New Roman"/>
                <w:sz w:val="19"/>
              </w:rPr>
              <w:t>Daniel Camardo</w:t>
            </w:r>
          </w:p>
        </w:tc>
        <w:tc>
          <w:tcPr>
            <w:tcW w:w="120" w:type="dxa"/>
            <w:tcBorders/>
            <w:vAlign w:val="bottom"/>
          </w:tcPr>
          <w:p>
            <w:pPr>
              <w:pStyle w:val="TableContents"/>
              <w:bidi w:val="0"/>
              <w:spacing w:before="0" w:after="283"/>
              <w:jc w:val="left"/>
              <w:rPr/>
            </w:pPr>
            <w:r>
              <w:rPr/>
              <w:t>  </w:t>
            </w:r>
          </w:p>
        </w:tc>
        <w:tc>
          <w:tcPr>
            <w:tcW w:w="3491"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August 12, 2026</w:t>
            </w:r>
          </w:p>
        </w:tc>
      </w:tr>
      <w:tr>
        <w:trPr>
          <w:trHeight w:val="240" w:hRule="atLeast"/>
        </w:trPr>
        <w:tc>
          <w:tcPr>
            <w:tcW w:w="4429"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429" w:type="dxa"/>
            <w:tcBorders/>
          </w:tcPr>
          <w:p>
            <w:pPr>
              <w:pStyle w:val="TableContents"/>
              <w:pBdr>
                <w:bottom w:val="single" w:sz="2" w:space="1" w:color="000000"/>
              </w:pBdr>
              <w:bidi w:val="0"/>
              <w:spacing w:before="0" w:after="0"/>
              <w:jc w:val="center"/>
              <w:rPr>
                <w:rFonts w:ascii="Times New Roman" w:hAnsi="Times New Roman"/>
                <w:sz w:val="19"/>
              </w:rPr>
            </w:pPr>
            <w:r>
              <w:rPr>
                <w:rFonts w:ascii="Times New Roman" w:hAnsi="Times New Roman"/>
                <w:sz w:val="19"/>
              </w:rPr>
              <w:t>/s/ Pamela D. Garzone</w:t>
            </w:r>
          </w:p>
          <w:p>
            <w:pPr>
              <w:pStyle w:val="TableContents"/>
              <w:bidi w:val="0"/>
              <w:spacing w:before="0" w:after="20"/>
              <w:jc w:val="center"/>
              <w:rPr>
                <w:rFonts w:ascii="Times New Roman" w:hAnsi="Times New Roman"/>
                <w:sz w:val="19"/>
              </w:rPr>
            </w:pPr>
            <w:r>
              <w:rPr>
                <w:rFonts w:ascii="Times New Roman" w:hAnsi="Times New Roman"/>
                <w:sz w:val="19"/>
              </w:rPr>
              <w:t>Pamela D. Garzone</w:t>
            </w:r>
          </w:p>
        </w:tc>
        <w:tc>
          <w:tcPr>
            <w:tcW w:w="120" w:type="dxa"/>
            <w:tcBorders/>
            <w:vAlign w:val="bottom"/>
          </w:tcPr>
          <w:p>
            <w:pPr>
              <w:pStyle w:val="TableContents"/>
              <w:bidi w:val="0"/>
              <w:spacing w:before="0" w:after="283"/>
              <w:jc w:val="left"/>
              <w:rPr/>
            </w:pPr>
            <w:r>
              <w:rPr/>
              <w:t>  </w:t>
            </w:r>
          </w:p>
        </w:tc>
        <w:tc>
          <w:tcPr>
            <w:tcW w:w="3491"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August 12, 2026</w:t>
            </w:r>
          </w:p>
        </w:tc>
      </w:tr>
      <w:tr>
        <w:trPr>
          <w:trHeight w:val="240" w:hRule="atLeast"/>
        </w:trPr>
        <w:tc>
          <w:tcPr>
            <w:tcW w:w="4429" w:type="dxa"/>
            <w:tcBorders/>
            <w:vAlign w:val="center"/>
          </w:tcPr>
          <w:p>
            <w:pPr>
              <w:pStyle w:val="TableContents"/>
              <w:bidi w:val="0"/>
              <w:spacing w:before="0" w:after="283"/>
              <w:jc w:val="left"/>
              <w:rPr>
                <w:sz w:val="4"/>
                <w:szCs w:val="4"/>
              </w:rPr>
            </w:pPr>
            <w:r>
              <w:rPr>
                <w:sz w:val="4"/>
                <w:szCs w:val="4"/>
              </w:rPr>
            </w:r>
          </w:p>
        </w:tc>
        <w:tc>
          <w:tcPr>
            <w:tcW w:w="3611"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429" w:type="dxa"/>
            <w:tcBorders/>
          </w:tcPr>
          <w:p>
            <w:pPr>
              <w:pStyle w:val="TableContents"/>
              <w:pBdr>
                <w:bottom w:val="single" w:sz="2" w:space="1" w:color="000000"/>
              </w:pBdr>
              <w:bidi w:val="0"/>
              <w:spacing w:before="0" w:after="0"/>
              <w:jc w:val="center"/>
              <w:rPr>
                <w:rFonts w:ascii="Times New Roman" w:hAnsi="Times New Roman"/>
                <w:sz w:val="19"/>
              </w:rPr>
            </w:pPr>
            <w:r>
              <w:rPr>
                <w:rFonts w:ascii="Times New Roman" w:hAnsi="Times New Roman"/>
                <w:sz w:val="19"/>
              </w:rPr>
              <w:t>/s/ Viola Meehan</w:t>
            </w:r>
          </w:p>
          <w:p>
            <w:pPr>
              <w:pStyle w:val="TableContents"/>
              <w:bidi w:val="0"/>
              <w:spacing w:before="0" w:after="20"/>
              <w:jc w:val="center"/>
              <w:rPr>
                <w:rFonts w:ascii="Times New Roman" w:hAnsi="Times New Roman"/>
                <w:sz w:val="19"/>
              </w:rPr>
            </w:pPr>
            <w:r>
              <w:rPr>
                <w:rFonts w:ascii="Times New Roman" w:hAnsi="Times New Roman"/>
                <w:sz w:val="19"/>
              </w:rPr>
              <w:t>Viola Meehan</w:t>
            </w:r>
          </w:p>
        </w:tc>
        <w:tc>
          <w:tcPr>
            <w:tcW w:w="120" w:type="dxa"/>
            <w:tcBorders/>
            <w:vAlign w:val="bottom"/>
          </w:tcPr>
          <w:p>
            <w:pPr>
              <w:pStyle w:val="TableContents"/>
              <w:bidi w:val="0"/>
              <w:spacing w:before="0" w:after="283"/>
              <w:jc w:val="left"/>
              <w:rPr/>
            </w:pPr>
            <w:r>
              <w:rPr/>
              <w:t>  </w:t>
            </w:r>
          </w:p>
        </w:tc>
        <w:tc>
          <w:tcPr>
            <w:tcW w:w="3491"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August 12,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16" w:name="d136967dex51.htm"/>
      <w:bookmarkStart w:id="17" w:name="ksd136967dex51"/>
      <w:bookmarkEnd w:id="16"/>
      <w:bookmarkEnd w:id="17"/>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0492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Courtney M.W. Tygesson </w:t>
      </w:r>
    </w:p>
    <w:p>
      <w:pPr>
        <w:pStyle w:val="TextBody"/>
        <w:bidi w:val="0"/>
        <w:spacing w:before="0" w:after="0"/>
        <w:jc w:val="left"/>
        <w:rPr>
          <w:rFonts w:ascii="Times New Roman" w:hAnsi="Times New Roman"/>
          <w:sz w:val="20"/>
        </w:rPr>
      </w:pPr>
      <w:r>
        <w:rPr>
          <w:rFonts w:ascii="Times New Roman" w:hAnsi="Times New Roman"/>
          <w:sz w:val="20"/>
        </w:rPr>
        <w:t xml:space="preserve">+1 312 881 6680 </w:t>
      </w:r>
    </w:p>
    <w:p>
      <w:pPr>
        <w:pStyle w:val="TextBody"/>
        <w:bidi w:val="0"/>
        <w:spacing w:before="0" w:after="0"/>
        <w:jc w:val="left"/>
        <w:rPr>
          <w:rFonts w:ascii="Times New Roman" w:hAnsi="Times New Roman"/>
          <w:sz w:val="20"/>
        </w:rPr>
      </w:pPr>
      <w:r>
        <w:rPr>
          <w:rFonts w:ascii="Times New Roman" w:hAnsi="Times New Roman"/>
          <w:sz w:val="20"/>
        </w:rPr>
        <w:t xml:space="preserve">tygesson@cooley.com </w:t>
      </w:r>
    </w:p>
    <w:p>
      <w:pPr>
        <w:pStyle w:val="TextBody"/>
        <w:bidi w:val="0"/>
        <w:spacing w:before="240" w:after="0"/>
        <w:jc w:val="left"/>
        <w:rPr>
          <w:rFonts w:ascii="Times New Roman" w:hAnsi="Times New Roman"/>
          <w:sz w:val="20"/>
        </w:rPr>
      </w:pPr>
      <w:r>
        <w:rPr>
          <w:rFonts w:ascii="Times New Roman" w:hAnsi="Times New Roman"/>
          <w:sz w:val="20"/>
        </w:rPr>
        <w:t xml:space="preserve">August 12, 2026 </w:t>
      </w:r>
    </w:p>
    <w:p>
      <w:pPr>
        <w:pStyle w:val="TextBody"/>
        <w:bidi w:val="0"/>
        <w:spacing w:before="240" w:after="0"/>
        <w:jc w:val="left"/>
        <w:rPr>
          <w:rFonts w:ascii="Times New Roman" w:hAnsi="Times New Roman"/>
          <w:sz w:val="20"/>
        </w:rPr>
      </w:pPr>
      <w:r>
        <w:rPr>
          <w:rFonts w:ascii="Times New Roman" w:hAnsi="Times New Roman"/>
          <w:sz w:val="20"/>
        </w:rPr>
        <w:t xml:space="preserve">Cue Biopharma, Inc. </w:t>
      </w:r>
    </w:p>
    <w:p>
      <w:pPr>
        <w:pStyle w:val="TextBody"/>
        <w:bidi w:val="0"/>
        <w:spacing w:before="0" w:after="0"/>
        <w:jc w:val="left"/>
        <w:rPr>
          <w:rFonts w:ascii="Times New Roman" w:hAnsi="Times New Roman"/>
          <w:sz w:val="20"/>
        </w:rPr>
      </w:pPr>
      <w:r>
        <w:rPr>
          <w:rFonts w:ascii="Times New Roman" w:hAnsi="Times New Roman"/>
          <w:sz w:val="20"/>
        </w:rPr>
        <w:t xml:space="preserve">40 Guest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02135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Cue Biopharma, Inc., a Delaware corporation (the “</w:t>
      </w:r>
      <w:r>
        <w:rPr>
          <w:rFonts w:ascii="Times New Roman" w:hAnsi="Times New Roman"/>
          <w:b/>
          <w:i/>
          <w:sz w:val="20"/>
        </w:rPr>
        <w:t>Company</w:t>
      </w:r>
      <w:r>
        <w:rPr>
          <w:rFonts w:ascii="Times New Roman" w:hAnsi="Times New Roman"/>
          <w:sz w:val="20"/>
        </w:rPr>
        <w:t>”), in connection with the filing of a Registration Statement on Form S-3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including a related prospectus included in the Registration Statement (the “</w:t>
      </w:r>
      <w:r>
        <w:rPr>
          <w:rFonts w:ascii="Times New Roman" w:hAnsi="Times New Roman"/>
          <w:b/>
          <w:i/>
          <w:sz w:val="20"/>
        </w:rPr>
        <w:t>Prospectus</w:t>
      </w:r>
      <w:r>
        <w:rPr>
          <w:rFonts w:ascii="Times New Roman" w:hAnsi="Times New Roman"/>
          <w:sz w:val="20"/>
        </w:rPr>
        <w:t>”), covering the registration for resale of up to 1,505,570 shares of the Company’s common stock, par value $0.001 per share (“</w:t>
      </w:r>
      <w:r>
        <w:rPr>
          <w:rFonts w:ascii="Times New Roman" w:hAnsi="Times New Roman"/>
          <w:b/>
          <w:i/>
          <w:sz w:val="20"/>
        </w:rPr>
        <w:t>Common Stock</w:t>
      </w:r>
      <w:r>
        <w:rPr>
          <w:rFonts w:ascii="Times New Roman" w:hAnsi="Times New Roman"/>
          <w:sz w:val="20"/>
        </w:rPr>
        <w:t>”), consisting of (a) 1,418,070 shares (the “</w:t>
      </w:r>
      <w:r>
        <w:rPr>
          <w:rFonts w:ascii="Times New Roman" w:hAnsi="Times New Roman"/>
          <w:b/>
          <w:i/>
          <w:sz w:val="20"/>
        </w:rPr>
        <w:t>Shares</w:t>
      </w:r>
      <w:r>
        <w:rPr>
          <w:rFonts w:ascii="Times New Roman" w:hAnsi="Times New Roman"/>
          <w:sz w:val="20"/>
        </w:rPr>
        <w:t>”) of Common Stock that are currently outstanding and (b) up to 87,500 shares (the “</w:t>
      </w:r>
      <w:r>
        <w:rPr>
          <w:rFonts w:ascii="Times New Roman" w:hAnsi="Times New Roman"/>
          <w:b/>
          <w:i/>
          <w:sz w:val="20"/>
        </w:rPr>
        <w:t>Warrant Shares</w:t>
      </w:r>
      <w:r>
        <w:rPr>
          <w:rFonts w:ascii="Times New Roman" w:hAnsi="Times New Roman"/>
          <w:sz w:val="20"/>
        </w:rPr>
        <w:t>”) of Common Stock, issuable upon the exercise of pre-funded warrants to purchase shares of Common Stock (the “</w:t>
      </w:r>
      <w:r>
        <w:rPr>
          <w:rFonts w:ascii="Times New Roman" w:hAnsi="Times New Roman"/>
          <w:b/>
          <w:i/>
          <w:sz w:val="20"/>
        </w:rPr>
        <w:t>Warrants</w:t>
      </w:r>
      <w:r>
        <w:rPr>
          <w:rFonts w:ascii="Times New Roman" w:hAnsi="Times New Roman"/>
          <w:sz w:val="20"/>
        </w:rPr>
        <w:t>”). The Shares and the Warrants were issued by the Company pursuant to that certain Securities Purchase Agreement, dated July 9, 2026, by and among the Company and the investors named therein (the “</w:t>
      </w:r>
      <w:r>
        <w:rPr>
          <w:rFonts w:ascii="Times New Roman" w:hAnsi="Times New Roman"/>
          <w:b/>
          <w:i/>
          <w:sz w:val="20"/>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Company’s certificate of incorporation and bylaws, each as currently in effect, the Purchase Agreement, the form of the Warrants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anti-fraud law, rule or regulation relating to securities or to the sale or issuance thereof.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Warrant Shares, we express no opinion to the extent that future issuances of securities by the Company,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assumptions, exceptions, limitations and qualifications set forth herein, we are of the opinion that (i) the Shares are validly issued, fully paid and nonassessable and (ii) the Warrant Shares, when issued and paid for in accordance with the terms of the Warrants, will be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LLP 110 North Wacker, Suite 4200 Chicago, Illinois 60606 </w:t>
      </w:r>
    </w:p>
    <w:p>
      <w:pPr>
        <w:pStyle w:val="TextBody"/>
        <w:bidi w:val="0"/>
        <w:spacing w:before="0" w:after="0"/>
        <w:jc w:val="center"/>
        <w:rPr>
          <w:rFonts w:ascii="Times New Roman" w:hAnsi="Times New Roman"/>
          <w:sz w:val="20"/>
        </w:rPr>
      </w:pPr>
      <w:r>
        <w:rPr>
          <w:rFonts w:ascii="Times New Roman" w:hAnsi="Times New Roman"/>
          <w:sz w:val="20"/>
        </w:rPr>
        <w:t xml:space="preserve">t: (312) 881-6500 f: (312) 881-6598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04925"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8"/>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Cue Biopharma, Inc. </w:t>
      </w:r>
    </w:p>
    <w:p>
      <w:pPr>
        <w:pStyle w:val="TextBody"/>
        <w:bidi w:val="0"/>
        <w:spacing w:before="0" w:after="0"/>
        <w:jc w:val="left"/>
        <w:rPr>
          <w:rFonts w:ascii="Times New Roman" w:hAnsi="Times New Roman"/>
          <w:sz w:val="20"/>
        </w:rPr>
      </w:pPr>
      <w:r>
        <w:rPr>
          <w:rFonts w:ascii="Times New Roman" w:hAnsi="Times New Roman"/>
          <w:sz w:val="20"/>
        </w:rPr>
        <w:t xml:space="preserve">August 12,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under the heading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Cooley LLP</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Courtney M.W. Tygesson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Courtney M.W. Tygesson</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Cooley LLP 110 North Wacker, Suite 4200 Chicago, Illinois 60606 </w:t>
      </w:r>
    </w:p>
    <w:p>
      <w:pPr>
        <w:pStyle w:val="TextBody"/>
        <w:bidi w:val="0"/>
        <w:spacing w:before="0" w:after="0"/>
        <w:jc w:val="center"/>
        <w:rPr>
          <w:rFonts w:ascii="Times New Roman" w:hAnsi="Times New Roman"/>
          <w:sz w:val="20"/>
        </w:rPr>
      </w:pPr>
      <w:r>
        <w:rPr>
          <w:rFonts w:ascii="Times New Roman" w:hAnsi="Times New Roman"/>
          <w:sz w:val="20"/>
        </w:rPr>
        <w:t xml:space="preserve">t: (312) 881-6500 f: (312) 881-6598 cooley.com </w:t>
      </w:r>
    </w:p>
    <w:p>
      <w:pPr>
        <w:pStyle w:val="TextBody"/>
        <w:bidi w:val="0"/>
        <w:spacing w:before="0" w:after="0"/>
        <w:jc w:val="right"/>
        <w:rPr>
          <w:rFonts w:ascii="Times New Roman" w:hAnsi="Times New Roman"/>
          <w:b/>
          <w:sz w:val="20"/>
        </w:rPr>
      </w:pPr>
      <w:bookmarkStart w:id="18" w:name="d136967dex231.htm"/>
      <w:bookmarkStart w:id="19" w:name="ksd136967dex231"/>
      <w:bookmarkEnd w:id="18"/>
      <w:bookmarkEnd w:id="19"/>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and related Prospectuses of Cue Biopharma, Inc. of our report dated March 16, 2026, relating to the consolidated financial statements of Cue Biopharma, Inc. and its subsidiary appearing in the Annual Report on Form 10-K of Cue Biopharma, Inc.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to our firm under the heading “Experts” in such Prospectuses. </w:t>
      </w:r>
    </w:p>
    <w:p>
      <w:pPr>
        <w:pStyle w:val="TextBody"/>
        <w:bidi w:val="0"/>
        <w:spacing w:before="240" w:after="0"/>
        <w:jc w:val="left"/>
        <w:rPr>
          <w:rFonts w:ascii="Times New Roman" w:hAnsi="Times New Roman"/>
          <w:sz w:val="20"/>
        </w:rPr>
      </w:pPr>
      <w:r>
        <w:rPr>
          <w:rFonts w:ascii="Times New Roman" w:hAnsi="Times New Roman"/>
          <w:sz w:val="20"/>
        </w:rPr>
        <w:t xml:space="preserve">/s/ RSM US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August 12,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Normal"/>
        <w:bidi w:val="0"/>
        <w:spacing w:before="0" w:after="0"/>
        <w:jc w:val="left"/>
        <w:rPr>
          <w:sz w:val="4"/>
          <w:szCs w:val="4"/>
        </w:rPr>
      </w:pPr>
      <w:r>
        <w:rPr>
          <w:sz w:val="4"/>
          <w:szCs w:val="4"/>
        </w:rPr>
      </w:r>
      <w:bookmarkStart w:id="20" w:name="d136967dexfilingfees.htm"/>
      <w:bookmarkStart w:id="21" w:name="ksd136967dexfilingfees"/>
      <w:bookmarkStart w:id="22" w:name="d136967dexfilingfees.htm"/>
      <w:bookmarkStart w:id="23" w:name="ksd136967dexfilingfees"/>
      <w:bookmarkEnd w:id="22"/>
      <w:bookmarkEnd w:id="23"/>
      <w:r>
        <w:br w:type="page"/>
      </w:r>
    </w:p>
    <w:tbl>
      <w:tblPr>
        <w:tblW w:w="3571" w:type="dxa"/>
        <w:jc w:val="left"/>
        <w:tblInd w:w="0" w:type="dxa"/>
        <w:tblLayout w:type="fixed"/>
        <w:tblCellMar>
          <w:top w:w="28" w:type="dxa"/>
          <w:left w:w="28" w:type="dxa"/>
          <w:bottom w:w="28" w:type="dxa"/>
          <w:right w:w="28" w:type="dxa"/>
        </w:tblCellMar>
      </w:tblPr>
      <w:tblGrid>
        <w:gridCol w:w="3417"/>
        <w:gridCol w:w="154"/>
      </w:tblGrid>
      <w:tr>
        <w:trPr/>
        <w:tc>
          <w:tcPr>
            <w:tcW w:w="357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7" w:type="dxa"/>
            <w:tcBorders/>
            <w:vAlign w:val="center"/>
          </w:tcPr>
          <w:p>
            <w:pPr>
              <w:pStyle w:val="TableContents"/>
              <w:bidi w:val="0"/>
              <w:spacing w:before="0" w:after="283"/>
              <w:jc w:val="left"/>
              <w:rPr>
                <w:b/>
              </w:rPr>
            </w:pPr>
            <w:r>
              <w:rPr>
                <w:b/>
              </w:rPr>
              <w:t xml:space="preserve">Cue Biopharma,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1,505,570 </w:t>
            </w:r>
          </w:p>
        </w:tc>
        <w:tc>
          <w:tcPr>
            <w:tcW w:w="1156" w:type="dxa"/>
            <w:tcBorders/>
            <w:shd w:fill="E7E7E2" w:val="clear"/>
            <w:vAlign w:val="center"/>
          </w:tcPr>
          <w:p>
            <w:pPr>
              <w:pStyle w:val="TableContents"/>
              <w:bidi w:val="0"/>
              <w:spacing w:before="0" w:after="283"/>
              <w:jc w:val="right"/>
              <w:rPr/>
            </w:pPr>
            <w:r>
              <w:rPr/>
              <w:t xml:space="preserve">$ 26.29 </w:t>
            </w:r>
          </w:p>
        </w:tc>
        <w:tc>
          <w:tcPr>
            <w:tcW w:w="1666" w:type="dxa"/>
            <w:tcBorders/>
            <w:shd w:fill="E7E7E2" w:val="clear"/>
            <w:vAlign w:val="center"/>
          </w:tcPr>
          <w:p>
            <w:pPr>
              <w:pStyle w:val="TableContents"/>
              <w:bidi w:val="0"/>
              <w:spacing w:before="0" w:after="283"/>
              <w:jc w:val="right"/>
              <w:rPr/>
            </w:pPr>
            <w:r>
              <w:rPr/>
              <w:t xml:space="preserve">$ 39,581,435.30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$ 5,466.20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4" w:name="MaxAggtOfferingPrice"/>
            <w:bookmarkEnd w:id="24"/>
            <w:r>
              <w:rPr/>
              <w:t xml:space="preserve">$ 39,581,435.30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$ 5,466.20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NetFeeAmt"/>
            <w:bookmarkEnd w:id="28"/>
            <w:r>
              <w:rPr/>
              <w:t xml:space="preserve">$ 5,466.20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 Consists of an aggregate of up to 1,505,570 shares of the Registrant's common stock, par value $0.001 per share ("common stock"), including 87,500 shares of common stock issuance upon the exercise of outstanding pre-funded warrants to purchase shares of common stock held by the selling stockholders, issued by the Registrant in a private placement pursuant to a securities purchase agreement dated July 9, 2026. Pursuant to Rule 416 under the Securities Act of 1933, as amended, the shares of common stock being registered hereunder include such indeterminate number of shares of common stock as may be issuable with respect to the shares of common stock being registered hereunder as a result of stock splits, stock dividends or similar transactions. (b) Pursuant to Rule 457(c) under the Securities Act, calculated on the basis of the average of the high and low prices per share of common stock reported on The Nasdaq Capital Market on August 10,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645460/000119312526108287/cue-20251231.htm" TargetMode="External"/><Relationship Id="rId4" Type="http://schemas.openxmlformats.org/officeDocument/2006/relationships/hyperlink" Target="http://www.sec.gov/Archives/edgar/data/../../../ix?doc=/Archives/edgar/data/0001645460/000119312526108301/cue-20260316.htm" TargetMode="External"/><Relationship Id="rId5" Type="http://schemas.openxmlformats.org/officeDocument/2006/relationships/hyperlink" Target="http://www.sec.gov/Archives/edgar/data/../../../ix?doc=/Archives/edgar/data/0001645460/000119312526224091/cue-20260331.htm" TargetMode="External"/><Relationship Id="rId6" Type="http://schemas.openxmlformats.org/officeDocument/2006/relationships/hyperlink" Target="http://www.sec.gov/Archives/edgar/data/../../../ix?doc=/Archives/edgar/data/0001645460/000119312526047717/cue-20260209.htm" TargetMode="External"/><Relationship Id="rId7" Type="http://schemas.openxmlformats.org/officeDocument/2006/relationships/hyperlink" Target="http://www.sec.gov/Archives/edgar/data/../../../ix?doc=/Archives/edgar/data/0001645460/000119312526056983/cue-20260218.htm" TargetMode="External"/><Relationship Id="rId8" Type="http://schemas.openxmlformats.org/officeDocument/2006/relationships/hyperlink" Target="http://www.sec.gov/Archives/edgar/data/../../../ix?doc=/Archives/edgar/data/0001645460/000119312526128993/d120770d8k.htm" TargetMode="External"/><Relationship Id="rId9" Type="http://schemas.openxmlformats.org/officeDocument/2006/relationships/hyperlink" Target="http://www.sec.gov/Archives/edgar/data/../../../ix?doc=/Archives/edgar/data/0001645460/000119312526144569/cue-20260401.htm" TargetMode="External"/><Relationship Id="rId10" Type="http://schemas.openxmlformats.org/officeDocument/2006/relationships/hyperlink" Target="http://www.sec.gov/Archives/edgar/data/../../../ix?doc=/Archives/edgar/data/0001645460/000119312526152826/cue-20260413.htm" TargetMode="External"/><Relationship Id="rId11" Type="http://schemas.openxmlformats.org/officeDocument/2006/relationships/hyperlink" Target="http://www.sec.gov/Archives/edgar/data/../../../ix?doc=/Archives/edgar/data/0001645460/000119312526168907/cue-20260422.htm" TargetMode="External"/><Relationship Id="rId12" Type="http://schemas.openxmlformats.org/officeDocument/2006/relationships/hyperlink" Target="http://www.sec.gov/Archives/edgar/data/../../../ix?doc=/Archives/edgar/data/0001645460/000119312526198588/d128047d8k.htm" TargetMode="External"/><Relationship Id="rId13" Type="http://schemas.openxmlformats.org/officeDocument/2006/relationships/hyperlink" Target="http://www.sec.gov/Archives/edgar/data/../../../ix?doc=/Archives/edgar/data/0001645460/000119312526253709/d139032d8k.htm" TargetMode="External"/><Relationship Id="rId14" Type="http://schemas.openxmlformats.org/officeDocument/2006/relationships/hyperlink" Target="http://www.sec.gov/Archives/edgar/data/../../../ix?doc=/Archives/edgar/data/0001645460/000119312526255479/cue-20260601.htm" TargetMode="External"/><Relationship Id="rId15" Type="http://schemas.openxmlformats.org/officeDocument/2006/relationships/hyperlink" Target="http://www.sec.gov/Archives/edgar/data/../../../ix?doc=/Archives/edgar/data/0001645460/000119312526301052/d123955d8k.htm" TargetMode="External"/><Relationship Id="rId16" Type="http://schemas.openxmlformats.org/officeDocument/2006/relationships/hyperlink" Target="http://www.sec.gov/Archives/edgar/data/../../../ix?doc=/Archives/edgar/data/0001645460/000119312526330730/d134183d8k.htm" TargetMode="External"/><Relationship Id="rId17" Type="http://schemas.openxmlformats.org/officeDocument/2006/relationships/hyperlink" Target="http://www.sec.gov/Archives/edgar/data/1645460/000114420417063474/tv481277_8a12b.htm" TargetMode="External"/><Relationship Id="rId18" Type="http://schemas.openxmlformats.org/officeDocument/2006/relationships/hyperlink" Target="http://www.sec.gov/Archives/edgar/data/1645460/000119312526108287/cue-ex4_2.htm" TargetMode="External"/><Relationship Id="rId19" Type="http://schemas.openxmlformats.org/officeDocument/2006/relationships/image" Target="media/image1.jpeg"/><Relationship Id="rId20" Type="http://schemas.openxmlformats.org/officeDocument/2006/relationships/hyperlink" Target="http://www.sec.gov/Archives/edgar/data/1645460/000156459020052490/cue-ex31_253.htm" TargetMode="External"/><Relationship Id="rId21" Type="http://schemas.openxmlformats.org/officeDocument/2006/relationships/hyperlink" Target="http://www.sec.gov/Archives/edgar/data/1645460/000119312526168907/cue-ex3_1.htm" TargetMode="External"/><Relationship Id="rId22" Type="http://schemas.openxmlformats.org/officeDocument/2006/relationships/hyperlink" Target="http://www.sec.gov/Archives/edgar/data/1645460/000157104917008632/t1703106_ex3-5.htm" TargetMode="External"/><Relationship Id="rId23" Type="http://schemas.openxmlformats.org/officeDocument/2006/relationships/hyperlink" Target="http://www.sec.gov/Archives/edgar/data/1645460/000119312526301052/d123955dex41.htm" TargetMode="External"/><Relationship Id="rId24" Type="http://schemas.openxmlformats.org/officeDocument/2006/relationships/hyperlink" Target="http://www.sec.gov/Archives/edgar/data/1645460/000157104917008632/t1703106_ex4-1.htm" TargetMode="External"/><Relationship Id="rId25" Type="http://schemas.openxmlformats.org/officeDocument/2006/relationships/hyperlink" Target="http://www.sec.gov/Archives/edgar/data/1645460/000119312526301052/d123955dex101.htm" TargetMode="External"/><Relationship Id="rId26" Type="http://schemas.openxmlformats.org/officeDocument/2006/relationships/hyperlink" Target="http://www.sec.gov/Archives/edgar/data/1645460/000119312526301052/d123955dex102.htm" TargetMode="External"/><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12441</Words>
  <Characters>66818</Characters>
  <CharactersWithSpaces>79593</CharactersWithSpaces>
  <Paragraphs>1051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