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152026_011030.xml.htm"/>
      <w:bookmarkStart w:id="1" w:name="ksform410152026_01103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Ray Sumita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CUE BIOPHARMA,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CHESTNUT STREET, 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SOMERVILLE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02143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Cue Biopharma,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CUE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Compliance Officer</w:t>
                  </w:r>
                  <w:r>
                    <w:rPr/>
                    <w:t xml:space="preserve"> / </w:t>
                  </w: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Corporate Secretary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1,844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28.05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116,701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represent shares sold pursuant to the Issuer's Company-Wide Policy and do not represent discretionary transactions by the Reporting Person. These sales were made automatically to satisfy mandatory tax withholding obligations through a "sell-to-cover" transaction in connection with the vesting and settlement of restricted stock units, and the Reporting Person did not exercise any control over the timing, price or number of shares sold.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Sumita Ray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79629" TargetMode="External"/><Relationship Id="rId5" Type="http://schemas.openxmlformats.org/officeDocument/2006/relationships/hyperlink" Target="http://www.sec.gov/cgi-bin/browse-edgar?action=getcompany&amp;CIK=000164546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637</Words>
  <Characters>3496</Characters>
  <CharactersWithSpaces>4065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