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06.xml.htm"/>
      <w:bookmarkStart w:id="1" w:name="ksform407102026_1107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Sarraf Pasha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32,595</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One-third of the shares subject to the RSUs vest on each of July 9, 2027, July 9, 2028, and July 9, 2029, subject to the reporting person's continued service with the issuer through each such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holdings held after the transaction reflects a 1-for-30 reverse split of the issuer's stock effected on April 22,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447"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3367</Characters>
  <CharactersWithSpaces>3934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