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52026_120800.xml.htm"/>
      <w:bookmarkStart w:id="1" w:name="ksform408152026_1208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Shao-Lee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08"/>
        <w:gridCol w:w="446"/>
        <w:gridCol w:w="79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109,179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764,253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34,225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26.99</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730,028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27.75</w:t>
            </w:r>
            <w:r>
              <w:rPr>
                <w:rFonts w:ascii="Times;serif" w:hAnsi="Times;serif"/>
                <w:color w:val="008000"/>
                <w:position w:val="7"/>
                <w:sz w:val="16"/>
                <w:sz w:val="20"/>
                <w:shd w:fill="FFFFFF" w:val="clear"/>
              </w:rPr>
              <w:t>(3)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724,253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27.19</w:t>
            </w:r>
            <w:r>
              <w:rPr>
                <w:rFonts w:ascii="Times;serif" w:hAnsi="Times;serif"/>
                <w:color w:val="008000"/>
                <w:position w:val="7"/>
                <w:sz w:val="16"/>
                <w:sz w:val="20"/>
                <w:shd w:fill="FFFFFF" w:val="clear"/>
              </w:rPr>
              <w:t>(4)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718,830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28.11</w:t>
            </w:r>
            <w:r>
              <w:rPr>
                <w:rFonts w:ascii="Times;serif" w:hAnsi="Times;serif"/>
                <w:color w:val="008000"/>
                <w:position w:val="7"/>
                <w:sz w:val="16"/>
                <w:sz w:val="20"/>
                <w:shd w:fill="FFFFFF" w:val="clear"/>
              </w:rPr>
              <w:t>(5)</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716,455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10,460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29.48</w:t>
            </w:r>
            <w:r>
              <w:rPr>
                <w:rFonts w:ascii="Times;serif" w:hAnsi="Times;serif"/>
                <w:color w:val="008000"/>
                <w:position w:val="7"/>
                <w:sz w:val="16"/>
                <w:sz w:val="20"/>
                <w:shd w:fill="FFFFFF" w:val="clear"/>
              </w:rPr>
              <w:t>(6)</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705,995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109,179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218,358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represents shares sold by the Reporting Person to cover tax withholding obligations in connection with the vesting and settlement of restricted stock units. The sales were to satisfy tax withholding obligations to be funded by a "sell-to-cover" transaction and do not represent discretionary transactions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as part of block trades for multiple security holders of the Issuer at prices ranging from $26.50 to $27.495, inclusive. The Reporting Person undertakes to provide to the Issuer, any securityholder of the Issuer or the staff of the Securities and Exchange Commission, upon request, full information regarding the number of shares sold at each separate price within the range set forth herein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this line item is a weighted average price. These shares were sold as part of block trades for multiple security holders of the Issuer at prices ranging from $27.50 to $28.13, inclusive. The Reporting Person undertakes to provide to the Issuer, any securityholder of the Issuer or the staff of the Securities and Exchange Commission, upon request, full information regarding the number of shares sold at each separate price within the range set forth herein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this line item is a weighted average price. These shares were sold as part of block trades for multiple security holders of the Issuer at prices ranging from $26.70 to $27.69, inclusive. The Reporting Person undertakes to provide to the Issuer, any securityholder of the Issuer or the staff of the Securities and Exchange Commission, upon request, full information regarding the number of shares sold at each separate price within the range set forth herein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this line item is a weighted average price. These shares were sold as part of block trades for multiple security holders of the Issuer at prices ranging from $27.78 to $28.505, inclusive. The Reporting Person undertakes to provide to the Issuer, any securityholder of the Issuer or the staff of the Securities and Exchange Commission, upon request, full information regarding the number of shares sold at each separate price within the range set forth herein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this line item is a weighted average price. These shares were sold as part of block trades for multiple security holders of the Issuer at prices ranging from $28.90 to $29.87, inclusive. The Reporting Person undertakes to provide to the Issuer, any securityholder of the Issuer or the staff of the Securities and Exchange Commission, upon request, full information regarding the number of shares sold at each separate price within the range set forth herein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performance stock units ("PSU") were awarded subject to certain stock-price based vesting conditions with vesting comprised of three substantially equal tranches that are eligible to vest based the achievement of a closing price per share of $33.00, $38.50 and $44.00, in each case for a period of five consecutive trading days. If the stock price targets are not satisfied by the period ending 24 months from the date of grant, the PSUs shall automatically be forfeited and cancelled without consideration. The award settled with respect to 1/3 of the PSUs underlying the award on August 12, 2026. The remaining 2/3 of the PSUs underlying the award are expected to settle on the achievement of a closing price per share of $38.50 and $44.00, in each case for a period of five consecutive trading days.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Shao-Lee 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092"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1231</Words>
  <Characters>6443</Characters>
  <CharactersWithSpaces>7548</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