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1103630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jc w:val="center"/>
        <w:ind w:right="-29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13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Pursuant to Section 13 or 15(d) of</w:t>
      </w: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The Securities Exchange Act of 1934</w:t>
      </w:r>
    </w:p>
    <w:p>
      <w:pPr>
        <w:spacing w:after="0" w:line="18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13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2"/>
          <w:szCs w:val="42"/>
          <w:b w:val="1"/>
          <w:bCs w:val="1"/>
          <w:color w:val="auto"/>
        </w:rPr>
        <w:t>Cue Biopharma, Inc.</w:t>
      </w:r>
    </w:p>
    <w:p>
      <w:pPr>
        <w:spacing w:after="0" w:line="5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307340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tbl>
      <w:tblPr>
        <w:tblLayout w:type="fixed"/>
        <w:tblInd w:w="1120" w:type="dxa"/>
        <w:tblCellMar>
          <w:top w:w="0" w:type="dxa"/>
          <w:left w:w="0" w:type="dxa"/>
          <w:bottom w:w="0" w:type="dxa"/>
          <w:right w:w="0" w:type="dxa"/>
        </w:tblCellMar>
      </w:tblPr>
      <w:tr>
        <w:trPr>
          <w:trHeight w:val="205"/>
        </w:trPr>
        <w:tc>
          <w:tcPr>
            <w:tcW w:w="3560" w:type="dxa"/>
            <w:vAlign w:val="bottom"/>
          </w:tcPr>
          <w:p>
            <w:pPr>
              <w:jc w:val="center"/>
              <w:ind w:right="1881"/>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500" w:type="dxa"/>
            <w:vAlign w:val="bottom"/>
          </w:tcPr>
          <w:p>
            <w:pPr>
              <w:ind w:left="700"/>
              <w:spacing w:after="0"/>
              <w:rPr>
                <w:sz w:val="20"/>
                <w:szCs w:val="20"/>
                <w:color w:val="auto"/>
              </w:rPr>
            </w:pPr>
            <w:r>
              <w:rPr>
                <w:rFonts w:ascii="Times New Roman" w:cs="Times New Roman" w:eastAsia="Times New Roman" w:hAnsi="Times New Roman"/>
                <w:sz w:val="17"/>
                <w:szCs w:val="17"/>
                <w:b w:val="1"/>
                <w:bCs w:val="1"/>
                <w:color w:val="auto"/>
              </w:rPr>
              <w:t>001-38327</w:t>
            </w:r>
          </w:p>
        </w:tc>
        <w:tc>
          <w:tcPr>
            <w:tcW w:w="2820" w:type="dxa"/>
            <w:vAlign w:val="bottom"/>
          </w:tcPr>
          <w:p>
            <w:pPr>
              <w:jc w:val="center"/>
              <w:ind w:left="1643"/>
              <w:spacing w:after="0"/>
              <w:rPr>
                <w:sz w:val="20"/>
                <w:szCs w:val="20"/>
                <w:color w:val="auto"/>
              </w:rPr>
            </w:pPr>
            <w:r>
              <w:rPr>
                <w:rFonts w:ascii="Times New Roman" w:cs="Times New Roman" w:eastAsia="Times New Roman" w:hAnsi="Times New Roman"/>
                <w:sz w:val="17"/>
                <w:szCs w:val="17"/>
                <w:b w:val="1"/>
                <w:bCs w:val="1"/>
                <w:color w:val="auto"/>
              </w:rPr>
              <w:t>47-3324577</w:t>
            </w:r>
          </w:p>
        </w:tc>
      </w:tr>
      <w:tr>
        <w:trPr>
          <w:trHeight w:val="144"/>
        </w:trPr>
        <w:tc>
          <w:tcPr>
            <w:tcW w:w="3560" w:type="dxa"/>
            <w:vAlign w:val="bottom"/>
          </w:tcPr>
          <w:p>
            <w:pPr>
              <w:jc w:val="center"/>
              <w:ind w:right="1881"/>
              <w:spacing w:after="0" w:line="144"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00" w:type="dxa"/>
            <w:vAlign w:val="bottom"/>
          </w:tcPr>
          <w:p>
            <w:pPr>
              <w:ind w:left="680"/>
              <w:spacing w:after="0" w:line="144"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20" w:type="dxa"/>
            <w:vAlign w:val="bottom"/>
          </w:tcPr>
          <w:p>
            <w:pPr>
              <w:jc w:val="center"/>
              <w:ind w:left="1643"/>
              <w:spacing w:after="0" w:line="144"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4"/>
        </w:trPr>
        <w:tc>
          <w:tcPr>
            <w:tcW w:w="3560" w:type="dxa"/>
            <w:vAlign w:val="bottom"/>
          </w:tcPr>
          <w:p>
            <w:pPr>
              <w:jc w:val="center"/>
              <w:ind w:right="1901"/>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25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20" w:type="dxa"/>
            <w:vAlign w:val="bottom"/>
          </w:tcPr>
          <w:p>
            <w:pPr>
              <w:jc w:val="center"/>
              <w:ind w:left="164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0"/>
        </w:trPr>
        <w:tc>
          <w:tcPr>
            <w:tcW w:w="3560" w:type="dxa"/>
            <w:vAlign w:val="bottom"/>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rPr>
              <w:t>40 Guest Street</w:t>
            </w:r>
          </w:p>
        </w:tc>
        <w:tc>
          <w:tcPr>
            <w:tcW w:w="2500" w:type="dxa"/>
            <w:vAlign w:val="bottom"/>
          </w:tcPr>
          <w:p>
            <w:pPr>
              <w:spacing w:after="0"/>
              <w:rPr>
                <w:sz w:val="24"/>
                <w:szCs w:val="24"/>
                <w:color w:val="auto"/>
              </w:rPr>
            </w:pPr>
          </w:p>
        </w:tc>
        <w:tc>
          <w:tcPr>
            <w:tcW w:w="2820" w:type="dxa"/>
            <w:vAlign w:val="bottom"/>
          </w:tcPr>
          <w:p>
            <w:pPr>
              <w:jc w:val="right"/>
              <w:ind w:right="1183"/>
              <w:spacing w:after="0"/>
              <w:rPr>
                <w:sz w:val="20"/>
                <w:szCs w:val="20"/>
                <w:color w:val="auto"/>
              </w:rPr>
            </w:pPr>
            <w:r>
              <w:rPr>
                <w:rFonts w:ascii="Times New Roman" w:cs="Times New Roman" w:eastAsia="Times New Roman" w:hAnsi="Times New Roman"/>
                <w:sz w:val="17"/>
                <w:szCs w:val="17"/>
                <w:b w:val="1"/>
                <w:bCs w:val="1"/>
                <w:color w:val="auto"/>
              </w:rPr>
              <w:t>02135</w:t>
            </w:r>
          </w:p>
        </w:tc>
      </w:tr>
      <w:tr>
        <w:trPr>
          <w:trHeight w:val="210"/>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Boston, Massachusetts</w:t>
            </w:r>
          </w:p>
        </w:tc>
        <w:tc>
          <w:tcPr>
            <w:tcW w:w="2500" w:type="dxa"/>
            <w:vAlign w:val="bottom"/>
          </w:tcPr>
          <w:p>
            <w:pPr>
              <w:spacing w:after="0"/>
              <w:rPr>
                <w:sz w:val="18"/>
                <w:szCs w:val="18"/>
                <w:color w:val="auto"/>
              </w:rPr>
            </w:pPr>
          </w:p>
        </w:tc>
        <w:tc>
          <w:tcPr>
            <w:tcW w:w="28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184"/>
        </w:trPr>
        <w:tc>
          <w:tcPr>
            <w:tcW w:w="35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2500" w:type="dxa"/>
            <w:vAlign w:val="bottom"/>
          </w:tcPr>
          <w:p>
            <w:pPr>
              <w:spacing w:after="0"/>
              <w:rPr>
                <w:sz w:val="16"/>
                <w:szCs w:val="16"/>
                <w:color w:val="auto"/>
              </w:rPr>
            </w:pPr>
          </w:p>
        </w:tc>
        <w:tc>
          <w:tcPr>
            <w:tcW w:w="2820" w:type="dxa"/>
            <w:vAlign w:val="bottom"/>
          </w:tcPr>
          <w:p>
            <w:pPr>
              <w:spacing w:after="0"/>
              <w:rPr>
                <w:sz w:val="16"/>
                <w:szCs w:val="16"/>
                <w:color w:val="auto"/>
              </w:rPr>
            </w:pPr>
          </w:p>
        </w:tc>
      </w:tr>
    </w:tbl>
    <w:p>
      <w:pPr>
        <w:spacing w:after="0" w:line="17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(617) 949-2680</w:t>
      </w:r>
    </w:p>
    <w:p>
      <w:pPr>
        <w:spacing w:after="0" w:line="3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0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55"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948055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 w:name="page2"/>
    <w:bookmarkEnd w:id="1"/>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8"/>
        </w:trPr>
        <w:tc>
          <w:tcPr>
            <w:tcW w:w="6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0"/>
        </w:trPr>
        <w:tc>
          <w:tcPr>
            <w:tcW w:w="6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$0.001 per share</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CUE</w:t>
            </w:r>
          </w:p>
        </w:tc>
        <w:tc>
          <w:tcPr>
            <w:tcW w:w="10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Nasdaq Capital Market</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0"/>
          <w:szCs w:val="20"/>
          <w:color w:val="auto"/>
        </w:rPr>
      </w:pPr>
    </w:p>
    <w:p>
      <w:pPr>
        <w:ind w:right="30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1625600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473710</wp:posOffset>
            </wp:positionV>
            <wp:extent cx="713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2" w:name="page3"/>
    <w:bookmarkEnd w:id="2"/>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6" w:lineRule="exact"/>
        <w:rPr>
          <w:sz w:val="20"/>
          <w:szCs w:val="20"/>
          <w:color w:val="auto"/>
        </w:rPr>
      </w:pPr>
    </w:p>
    <w:p>
      <w:pPr>
        <w:ind w:right="720"/>
        <w:spacing w:after="0" w:line="296" w:lineRule="auto"/>
        <w:rPr>
          <w:sz w:val="20"/>
          <w:szCs w:val="20"/>
          <w:color w:val="auto"/>
        </w:rPr>
      </w:pPr>
      <w:r>
        <w:rPr>
          <w:rFonts w:ascii="Times New Roman" w:cs="Times New Roman" w:eastAsia="Times New Roman" w:hAnsi="Times New Roman"/>
          <w:sz w:val="17"/>
          <w:szCs w:val="17"/>
          <w:color w:val="auto"/>
        </w:rPr>
        <w:t>To the extent required by Item 3.03 of Form 8-K, the information contained in Item 5.03 of this Current Report on Form 8-K is incorporated herein by reference.</w:t>
      </w:r>
    </w:p>
    <w:p>
      <w:pPr>
        <w:spacing w:after="0" w:line="14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April 22, 2026, Cue Biopharma, Inc. (the “Company”) filed a Certificate of Amendment to the Company’s Amended and Restated Certificate of Incorporation, as amended (the “Certificate of Amendment”), with the Secretary of State of the State of Delaware, which will effect, as of 5:00 p.m. Eastern Time, on April 23, 2026 (the “Effective Time”), a 1-for-30 reverse stock split (the “Reverse Stock Split”) of the issued and outstanding shares of the Company’s common stock, $0.001 par value per share (the “Common Stock”).</w:t>
      </w:r>
    </w:p>
    <w:p>
      <w:pPr>
        <w:spacing w:after="0" w:line="16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The Reverse Stock Split is intended, among other things, to bring the Company into compliance with the minimum bid price requirement for continued listing on the Nasdaq Capital Market, as previously reported in the Company’s definitive proxy statement for the Company’s 2026 annual meeting of stockholders held on April 13, 2026, as filed with the Securities and Exchange Commission on March 16, 2026 (as supplemented, the “Proxy Statement”).</w:t>
      </w:r>
    </w:p>
    <w:p>
      <w:pPr>
        <w:spacing w:after="0" w:line="16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At the Effective Time, every thirty shares of issued and outstanding Common Stock will be automatically reclassified and combined into one share of Common Stock. No fractional shares will be issued in connection with the Reverse Stock Split. Stockholders who would otherwise be entitled to a fractional share of Common Stock are instead entitled to receive a cash payment in lieu of such fractional shares.</w:t>
      </w:r>
    </w:p>
    <w:p>
      <w:pPr>
        <w:spacing w:after="0" w:line="16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Reverse Stock Split will not change the number of authorized shares of Common Stock or the par value of the Common Stock. All outstanding stock options and warrants to purchase Common Stock will be adjusted to proportionately reduce the number of shares of Common Stock issuable upon exercise of such stock options and warrants and to proportionately increase the exercise price of such stock options and warrants, pursuant to the terms of each security and as described in the Proxy Statement. In addition, the total number of shares of Common Stock available for future grants under the Company’s equity incentive plans will be adjusted and proportionately decreased, in accordance with the respective terms of such plans and as described in the Proxy Statement.</w:t>
      </w:r>
    </w:p>
    <w:p>
      <w:pPr>
        <w:spacing w:after="0" w:line="170"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The Common Stock is expected to begin trading on a post-Reverse Stock Split basis at the market open on April 24, 2026 under the Company’s existing trading symbol “CUE”. The new CUSIP number for the Common Stock following the Reverse Stock Split is 22978P205.</w:t>
      </w:r>
    </w:p>
    <w:p>
      <w:pPr>
        <w:spacing w:after="0" w:line="147"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7"/>
          <w:szCs w:val="17"/>
          <w:color w:val="auto"/>
        </w:rPr>
        <w:t>The foregoing description of the Certificate of Amendment does not purport to be complete and is qualified in its entirety by reference to the complete text of the Certificate of Amendment, a copy of which is attached hereto as Exhibit 3.1 and is incorporated herein by reference.</w:t>
      </w:r>
    </w:p>
    <w:p>
      <w:pPr>
        <w:spacing w:after="0" w:line="35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60" w:type="dxa"/>
            <w:vAlign w:val="bottom"/>
          </w:tcPr>
          <w:p>
            <w:pPr>
              <w:spacing w:after="0"/>
              <w:rPr>
                <w:sz w:val="13"/>
                <w:szCs w:val="13"/>
                <w:color w:val="auto"/>
              </w:rPr>
            </w:pPr>
          </w:p>
        </w:tc>
        <w:tc>
          <w:tcPr>
            <w:tcW w:w="10020" w:type="dxa"/>
            <w:vAlign w:val="bottom"/>
            <w:gridSpan w:val="2"/>
            <w:vMerge w:val="restart"/>
          </w:tcPr>
          <w:p>
            <w:pPr>
              <w:ind w:left="4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360" w:type="dxa"/>
            <w:vAlign w:val="bottom"/>
          </w:tcPr>
          <w:p>
            <w:pPr>
              <w:spacing w:after="0"/>
              <w:rPr>
                <w:sz w:val="14"/>
                <w:szCs w:val="14"/>
                <w:color w:val="auto"/>
              </w:rPr>
            </w:pPr>
          </w:p>
        </w:tc>
        <w:tc>
          <w:tcPr>
            <w:tcW w:w="10020" w:type="dxa"/>
            <w:vAlign w:val="bottom"/>
            <w:tcBorders>
              <w:bottom w:val="single" w:sz="8" w:color="auto"/>
            </w:tcBorders>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360" w:type="dxa"/>
            <w:vAlign w:val="bottom"/>
          </w:tcPr>
          <w:p>
            <w:pPr>
              <w:spacing w:after="0"/>
              <w:rPr>
                <w:sz w:val="24"/>
                <w:szCs w:val="24"/>
                <w:color w:val="auto"/>
              </w:rPr>
            </w:pPr>
          </w:p>
        </w:tc>
        <w:tc>
          <w:tcPr>
            <w:tcW w:w="7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Certificate of Amendment to the Company’s Amended and Restated Certificate of Incorporation, as amended</w:t>
            </w:r>
          </w:p>
        </w:tc>
        <w:tc>
          <w:tcPr>
            <w:tcW w:w="2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36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0" w:type="dxa"/>
            <w:vAlign w:val="bottom"/>
          </w:tcPr>
          <w:p>
            <w:pPr>
              <w:spacing w:after="0"/>
              <w:rPr>
                <w:sz w:val="1"/>
                <w:szCs w:val="1"/>
                <w:color w:val="auto"/>
              </w:rPr>
            </w:pPr>
          </w:p>
        </w:tc>
      </w:tr>
      <w:tr>
        <w:trPr>
          <w:trHeight w:val="1591"/>
        </w:trPr>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 Looking Statements</w:t>
      </w:r>
    </w:p>
    <w:p>
      <w:pPr>
        <w:spacing w:after="0" w:line="22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the Private Securities Litigation Reform Act of 1995. Such forward-looking statements include, but are not limited to, those regarding: the Company’s ability to comply with the continued listing standards of the Nasdaq Capital Market and the timing and effectiveness of the Reverse Stock Split. Forward-looking statements, which are based on certain assumptions and describe the company’s future plans, strategies and expectations, can generally be identified by the use of forward-looking terms such as “anticipate,” “believe,” “continue,” “could,” “estimate,” “expect,” “goal,” “intend,” “may,” “plan,” “potential,” “predict,” “project,” “seek,” “strategy,” “future,” “vision,” “should,” “target,” “will,” “would,” “likely” or other comparable terms, although not all forward-looking statements contain these identifying words.</w:t>
      </w:r>
    </w:p>
    <w:p>
      <w:pPr>
        <w:spacing w:after="0" w:line="17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the Company’s ability to maintain its collaboration with ImmunoScape; the Company’s limited operating history, limited cash and a history of losses; the Company’s ability to achieve profitability; the Company’s ability to obtain adequate financing to fund its business operations in the future; the Company’s ability to successfully remediate its current “going concern” determination that it does not have sufficient capital on hand to continue operations beyond the next twelve months; the Company’s reliance on licensors, collaborators, contract research organizations, suppliers and other business partners; potential setbacks in its research and development efforts including negative or inconclusive results from its preclinical studies or clinical trials; and the Company’s ability to replicate in later clinical trials positive results found in preclinical studies and early-stage clinical trials of its product candidates. For a discussion of other risks and uncertainties, and other important factors, any of which could cause the Company’s actual results to differ from those contained in the forward-looking statements, see the “Risk Factors” section in the Company’s most recent Annual Report on Form 10-K and any subsequent Quarterly Reports on Form 10-Q filed with the SEC. In addition, the forward-looking statements included in this Current Report on Form 8-K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4171315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7"/>
                <w:szCs w:val="17"/>
                <w:b w:val="1"/>
                <w:bCs w:val="1"/>
                <w:color w:val="auto"/>
              </w:rPr>
              <w:t>Cue Biopharma, Inc.</w:t>
            </w:r>
          </w:p>
        </w:tc>
      </w:tr>
      <w:tr>
        <w:trPr>
          <w:trHeight w:val="419"/>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Date: April 22, 2026</w:t>
            </w:r>
          </w:p>
        </w:tc>
        <w:tc>
          <w:tcPr>
            <w:tcW w:w="256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By:</w:t>
            </w:r>
          </w:p>
        </w:tc>
        <w:tc>
          <w:tcPr>
            <w:tcW w:w="5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 Lucinda Warren</w:t>
            </w:r>
          </w:p>
        </w:tc>
      </w:tr>
      <w:tr>
        <w:trPr>
          <w:trHeight w:val="185"/>
        </w:trPr>
        <w:tc>
          <w:tcPr>
            <w:tcW w:w="3540" w:type="dxa"/>
            <w:vAlign w:val="bottom"/>
          </w:tcPr>
          <w:p>
            <w:pPr>
              <w:spacing w:after="0"/>
              <w:rPr>
                <w:sz w:val="16"/>
                <w:szCs w:val="16"/>
                <w:color w:val="auto"/>
              </w:rPr>
            </w:pPr>
          </w:p>
        </w:tc>
        <w:tc>
          <w:tcPr>
            <w:tcW w:w="2560" w:type="dxa"/>
            <w:vAlign w:val="bottom"/>
          </w:tcPr>
          <w:p>
            <w:pPr>
              <w:ind w:left="2100"/>
              <w:spacing w:after="0" w:line="185" w:lineRule="exact"/>
              <w:rPr>
                <w:sz w:val="20"/>
                <w:szCs w:val="20"/>
                <w:color w:val="auto"/>
              </w:rPr>
            </w:pPr>
            <w:r>
              <w:rPr>
                <w:rFonts w:ascii="Times New Roman" w:cs="Times New Roman" w:eastAsia="Times New Roman" w:hAnsi="Times New Roman"/>
                <w:sz w:val="17"/>
                <w:szCs w:val="17"/>
                <w:color w:val="auto"/>
                <w:w w:val="96"/>
              </w:rPr>
              <w:t>Name:</w:t>
            </w:r>
          </w:p>
        </w:tc>
        <w:tc>
          <w:tcPr>
            <w:tcW w:w="5140" w:type="dxa"/>
            <w:vAlign w:val="bottom"/>
          </w:tcPr>
          <w:p>
            <w:pPr>
              <w:ind w:left="40"/>
              <w:spacing w:after="0" w:line="185" w:lineRule="exact"/>
              <w:rPr>
                <w:sz w:val="20"/>
                <w:szCs w:val="20"/>
                <w:color w:val="auto"/>
              </w:rPr>
            </w:pPr>
            <w:r>
              <w:rPr>
                <w:rFonts w:ascii="Times New Roman" w:cs="Times New Roman" w:eastAsia="Times New Roman" w:hAnsi="Times New Roman"/>
                <w:sz w:val="17"/>
                <w:szCs w:val="17"/>
                <w:color w:val="auto"/>
              </w:rPr>
              <w:t>Lucinda Warren</w:t>
            </w:r>
          </w:p>
        </w:tc>
      </w:tr>
      <w:tr>
        <w:trPr>
          <w:trHeight w:val="228"/>
        </w:trPr>
        <w:tc>
          <w:tcPr>
            <w:tcW w:w="3540" w:type="dxa"/>
            <w:vAlign w:val="bottom"/>
          </w:tcPr>
          <w:p>
            <w:pPr>
              <w:spacing w:after="0"/>
              <w:rPr>
                <w:sz w:val="19"/>
                <w:szCs w:val="19"/>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7"/>
                <w:szCs w:val="17"/>
                <w:color w:val="auto"/>
              </w:rPr>
              <w:t>Title: Interim President and Chief Executive Officer</w:t>
            </w:r>
          </w:p>
        </w:tc>
      </w:tr>
      <w:tr>
        <w:trPr>
          <w:trHeight w:val="1591"/>
        </w:trPr>
        <w:tc>
          <w:tcPr>
            <w:tcW w:w="35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9"/>
          <w:szCs w:val="19"/>
          <w:b w:val="1"/>
          <w:bCs w:val="1"/>
          <w:color w:val="auto"/>
        </w:rPr>
        <w:t>Exhibit 3.1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CUE BIOPHARMA,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Pursuant to Section 242 of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General Corporation Law of the State of Delaware</w:t>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Cue Biopharma,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a corporation organized and existing under and by virtue of the General Corporation Law of the State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does hereby certify:</w:t>
      </w:r>
    </w:p>
    <w:p>
      <w:pPr>
        <w:spacing w:after="0" w:line="206"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17"/>
          <w:szCs w:val="17"/>
          <w:color w:val="auto"/>
        </w:rPr>
        <w:t>FIRST: That the Board of Directors of the Corporation has duly adopted resolutions in accordance with the provisions of Section 242 of the General Corporation Law of the State of Delaware authorizing, declaring advisable and approving an amendment to the Amended and Restated Certificate of Incorporation, as amended, of the Corporation. Thereafter, the stockholders of the Corporation duly adopted such amendment in accordance with the provisions of Section 242 of the General Corporation Law of the State of Delaware.</w:t>
      </w:r>
    </w:p>
    <w:p>
      <w:pPr>
        <w:spacing w:after="0" w:line="168"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7"/>
          <w:szCs w:val="17"/>
          <w:color w:val="auto"/>
        </w:rPr>
        <w:t>SECOND: That the amendment to the Amended and Restated Certificate of Incorporation, as amended, of the Corporation set forth in this Certificate of Amendment was duly adopted in accordance with the provisions of Section 242 of the General Corporation Law of the State of Delaware by the Board of Directors and stockholders of the Corporation.</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THIRD:  That, upon the effectiveness of this Certificate of Amendment, Section 3.01 of Article III of the Amended and Restated Certificate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Incorporation, as amended, is hereby amended and restated in its entirety as follows:</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firstLine="754"/>
        <w:spacing w:after="0" w:line="261" w:lineRule="auto"/>
        <w:tabs>
          <w:tab w:leader="none" w:pos="109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upon the effective time of this Certificate of Amendment of Amended and Restated Certificate of Incorporation, as amended, of the Corporation (the “Effective Time”), a one-for-thirty reverse stock split of the Common Stock shall become effective, pursuant to which each thirty (30) (the “Reverse Stock Split Number”) shares of Common Stock issued and outstanding and held of record by each stockholder of the Corporation immediately prior to the Effective Time shall be automatically reclassified and combined into one (1) validly issued, fully paid and nonassessable share of Common Stock without any further action by the Corporation or the holder thereof and shall represent one share of Common Stock from and after the Effective Time (such reclassification and combination of shares, the “Reverse Stock Split”). The par value of the Common Stock following the Reverse Stock Split shall remain at $0.001 par value per share. No fractional shares of Common Stock shall be issued as a result of or in connection with the Reverse Stock Split and in lieu thereof, any stockholder who otherwise would be entitled to receive a fractional share of Common Stock shall be entitled to receive cash (without interest) equal to the fraction of one share of Common Stock to which such stockholder would otherwise be entitled multiplied by (i) the closing price per share of the Common Stock on the Nasdaq Capital Market at the close of business on the trading day preceding the date of the Effective Time multiplied by (ii) the Reverse Stock Split Number.</w:t>
      </w:r>
    </w:p>
    <w:p>
      <w:pPr>
        <w:spacing w:after="0" w:line="389" w:lineRule="exact"/>
        <w:rPr>
          <w:sz w:val="20"/>
          <w:szCs w:val="20"/>
          <w:color w:val="auto"/>
        </w:rPr>
      </w:pPr>
    </w:p>
    <w:p>
      <w:pPr>
        <w:ind w:right="60" w:firstLine="749"/>
        <w:spacing w:after="0" w:line="265" w:lineRule="auto"/>
        <w:rPr>
          <w:sz w:val="20"/>
          <w:szCs w:val="20"/>
          <w:color w:val="auto"/>
        </w:rPr>
      </w:pPr>
      <w:r>
        <w:rPr>
          <w:rFonts w:ascii="Times New Roman" w:cs="Times New Roman" w:eastAsia="Times New Roman" w:hAnsi="Times New Roman"/>
          <w:sz w:val="17"/>
          <w:szCs w:val="17"/>
          <w:color w:val="auto"/>
        </w:rPr>
        <w:t>Each stock certificate or book entry position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position have been reclassified as well as the right to receive cash in lieu of fractional shares of Common Stock after the Effective Time; provided, however, that each stockholder of record holding a certificate that represented shares of Common Stock that were issued and outstanding immediately prior to the Effective Time shall receive, upon surrender of such certificate, a new book entry position evidencing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840105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6" w:name="page7"/>
    <w:bookmarkEnd w:id="6"/>
    <w:p>
      <w:pPr>
        <w:spacing w:after="0" w:line="149" w:lineRule="exact"/>
        <w:rPr>
          <w:sz w:val="20"/>
          <w:szCs w:val="20"/>
          <w:color w:val="auto"/>
        </w:rPr>
      </w:pPr>
    </w:p>
    <w:p>
      <w:pPr>
        <w:ind w:right="420"/>
        <w:spacing w:after="0" w:line="296" w:lineRule="auto"/>
        <w:rPr>
          <w:sz w:val="20"/>
          <w:szCs w:val="20"/>
          <w:color w:val="auto"/>
        </w:rPr>
      </w:pPr>
      <w:r>
        <w:rPr>
          <w:rFonts w:ascii="Times New Roman" w:cs="Times New Roman" w:eastAsia="Times New Roman" w:hAnsi="Times New Roman"/>
          <w:sz w:val="17"/>
          <w:szCs w:val="17"/>
          <w:color w:val="auto"/>
        </w:rPr>
        <w:t>representing the number of whole shares of Common Stock after the Effective Time into which the shares of Common Stock formerly represented by such certificate shall have been reclassified.</w:t>
      </w:r>
    </w:p>
    <w:p>
      <w:pPr>
        <w:spacing w:after="0" w:line="147" w:lineRule="exact"/>
        <w:rPr>
          <w:sz w:val="20"/>
          <w:szCs w:val="20"/>
          <w:color w:val="auto"/>
        </w:rPr>
      </w:pPr>
    </w:p>
    <w:p>
      <w:pPr>
        <w:jc w:val="both"/>
        <w:ind w:firstLine="754"/>
        <w:spacing w:after="0" w:line="285" w:lineRule="auto"/>
        <w:tabs>
          <w:tab w:leader="none" w:pos="109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shares which the Corporation has authority to issue is 310,000,000 shares, consisting of: 10,000,000 shares designated as Preferred Stock, par value of $0.001 per share (“Preferred Stock”), and 300,000,000 shares designated as Common Stock, par value of $0.001 per share (“Common Stock”). ”</w:t>
      </w:r>
    </w:p>
    <w:p>
      <w:pPr>
        <w:spacing w:after="0" w:line="155" w:lineRule="exact"/>
        <w:rPr>
          <w:sz w:val="20"/>
          <w:szCs w:val="20"/>
          <w:color w:val="auto"/>
        </w:rPr>
      </w:pPr>
    </w:p>
    <w:p>
      <w:pPr>
        <w:ind w:right="320" w:firstLine="749"/>
        <w:spacing w:after="0" w:line="296" w:lineRule="auto"/>
        <w:rPr>
          <w:sz w:val="20"/>
          <w:szCs w:val="20"/>
          <w:color w:val="auto"/>
        </w:rPr>
      </w:pPr>
      <w:r>
        <w:rPr>
          <w:rFonts w:ascii="Times New Roman" w:cs="Times New Roman" w:eastAsia="Times New Roman" w:hAnsi="Times New Roman"/>
          <w:sz w:val="17"/>
          <w:szCs w:val="17"/>
          <w:color w:val="auto"/>
        </w:rPr>
        <w:t>FOURTH This Certificate of Amendment of Amended and Restated Certificate of Incorporation, as amended, shall be effective at 5:00 p.m., Eastern Time, on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6147435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right="100" w:firstLine="749"/>
        <w:spacing w:after="0" w:line="296" w:lineRule="auto"/>
        <w:rPr>
          <w:sz w:val="20"/>
          <w:szCs w:val="20"/>
          <w:color w:val="auto"/>
        </w:rPr>
      </w:pPr>
      <w:r>
        <w:rPr>
          <w:rFonts w:ascii="Times New Roman" w:cs="Times New Roman" w:eastAsia="Times New Roman" w:hAnsi="Times New Roman"/>
          <w:sz w:val="17"/>
          <w:szCs w:val="17"/>
          <w:color w:val="auto"/>
        </w:rPr>
        <w:t>IN WITNESS WHEREOF, this Certificate of Amendment of Amended and Restated Certificate of Incorporation has been executed by a duly authorized officer of the Corporation on this 22nd day of April, 2026.</w:t>
      </w:r>
    </w:p>
    <w:p>
      <w:pPr>
        <w:spacing w:after="0" w:line="200" w:lineRule="exact"/>
        <w:rPr>
          <w:sz w:val="20"/>
          <w:szCs w:val="20"/>
          <w:color w:val="auto"/>
        </w:rPr>
      </w:pPr>
    </w:p>
    <w:p>
      <w:pPr>
        <w:spacing w:after="0" w:line="36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CUE BIOPHARMA,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20" w:type="dxa"/>
            <w:vAlign w:val="bottom"/>
          </w:tcPr>
          <w:p>
            <w:pPr>
              <w:spacing w:after="0"/>
              <w:rPr>
                <w:sz w:val="19"/>
                <w:szCs w:val="19"/>
                <w:color w:val="auto"/>
              </w:rPr>
            </w:pP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Lucinda Warren</w:t>
            </w:r>
          </w:p>
        </w:tc>
        <w:tc>
          <w:tcPr>
            <w:tcW w:w="100" w:type="dxa"/>
            <w:vAlign w:val="bottom"/>
            <w:tcBorders>
              <w:bottom w:val="single" w:sz="8" w:color="auto"/>
            </w:tcBorders>
          </w:tcPr>
          <w:p>
            <w:pPr>
              <w:spacing w:after="0"/>
              <w:rPr>
                <w:sz w:val="19"/>
                <w:szCs w:val="19"/>
                <w:color w:val="auto"/>
              </w:rPr>
            </w:pPr>
          </w:p>
        </w:tc>
      </w:tr>
      <w:tr>
        <w:trPr>
          <w:trHeight w:val="211"/>
        </w:trPr>
        <w:tc>
          <w:tcPr>
            <w:tcW w:w="6120" w:type="dxa"/>
            <w:vAlign w:val="bottom"/>
          </w:tcPr>
          <w:p>
            <w:pPr>
              <w:ind w:left="5800"/>
              <w:spacing w:after="0"/>
              <w:rPr>
                <w:sz w:val="20"/>
                <w:szCs w:val="20"/>
                <w:color w:val="auto"/>
              </w:rPr>
            </w:pPr>
            <w:r>
              <w:rPr>
                <w:rFonts w:ascii="Times New Roman" w:cs="Times New Roman" w:eastAsia="Times New Roman" w:hAnsi="Times New Roman"/>
                <w:sz w:val="17"/>
                <w:szCs w:val="17"/>
                <w:color w:val="auto"/>
              </w:rPr>
              <w:t>By:</w:t>
            </w:r>
          </w:p>
        </w:tc>
        <w:tc>
          <w:tcPr>
            <w:tcW w:w="5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Lucinda Warren</w:t>
            </w:r>
          </w:p>
        </w:tc>
        <w:tc>
          <w:tcPr>
            <w:tcW w:w="100" w:type="dxa"/>
            <w:vAlign w:val="bottom"/>
          </w:tcPr>
          <w:p>
            <w:pPr>
              <w:spacing w:after="0"/>
              <w:rPr>
                <w:sz w:val="18"/>
                <w:szCs w:val="18"/>
                <w:color w:val="auto"/>
              </w:rPr>
            </w:pPr>
          </w:p>
        </w:tc>
      </w:tr>
      <w:tr>
        <w:trPr>
          <w:trHeight w:val="228"/>
        </w:trPr>
        <w:tc>
          <w:tcPr>
            <w:tcW w:w="6120" w:type="dxa"/>
            <w:vAlign w:val="bottom"/>
          </w:tcPr>
          <w:p>
            <w:pPr>
              <w:ind w:left="5560"/>
              <w:spacing w:after="0"/>
              <w:rPr>
                <w:sz w:val="20"/>
                <w:szCs w:val="20"/>
                <w:color w:val="auto"/>
              </w:rPr>
            </w:pPr>
            <w:r>
              <w:rPr>
                <w:rFonts w:ascii="Times New Roman" w:cs="Times New Roman" w:eastAsia="Times New Roman" w:hAnsi="Times New Roman"/>
                <w:sz w:val="17"/>
                <w:szCs w:val="17"/>
                <w:color w:val="auto"/>
              </w:rPr>
              <w:t>Title:</w:t>
            </w:r>
          </w:p>
        </w:tc>
        <w:tc>
          <w:tcPr>
            <w:tcW w:w="5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Interim President and Chief Executive Officer</w:t>
            </w:r>
          </w:p>
        </w:tc>
        <w:tc>
          <w:tcPr>
            <w:tcW w:w="100" w:type="dxa"/>
            <w:vAlign w:val="bottom"/>
          </w:tcPr>
          <w:p>
            <w:pPr>
              <w:spacing w:after="0"/>
              <w:rPr>
                <w:sz w:val="19"/>
                <w:szCs w:val="19"/>
                <w:color w:val="auto"/>
              </w:rPr>
            </w:pPr>
          </w:p>
        </w:tc>
      </w:tr>
      <w:tr>
        <w:trPr>
          <w:trHeight w:val="1605"/>
        </w:trPr>
        <w:tc>
          <w:tcPr>
            <w:tcW w:w="61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379"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2026-04-22T07:50:01Z</dcterms:created>
  <dcterms:modified xsi:type="dcterms:W3CDTF">2026-04-22T07:50:01Z</dcterms:modified>
</cp:coreProperties>
</file>