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3, 2026</w:t>
      </w:r>
    </w:p>
    <w:p>
      <w:pPr>
        <w:spacing w:after="0" w:line="30" w:lineRule="exact"/>
        <w:rPr>
          <w:sz w:val="24"/>
          <w:szCs w:val="24"/>
          <w:color w:val="auto"/>
        </w:rPr>
      </w:pPr>
    </w:p>
    <w:p>
      <w:pPr>
        <w:ind w:left="87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63500</wp:posOffset>
            </wp:positionV>
            <wp:extent cx="6921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105410</wp:posOffset>
            </wp:positionV>
            <wp:extent cx="6921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19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8"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Cue Biopharma, Inc.</w:t>
      </w:r>
    </w:p>
    <w:p>
      <w:pPr>
        <w:spacing w:after="0" w:line="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232410</wp:posOffset>
            </wp:positionV>
            <wp:extent cx="1450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1560" w:type="dxa"/>
        <w:tblCellMar>
          <w:top w:w="0" w:type="dxa"/>
          <w:left w:w="0" w:type="dxa"/>
          <w:bottom w:w="0" w:type="dxa"/>
          <w:right w:w="0" w:type="dxa"/>
        </w:tblCellMar>
      </w:tblPr>
      <w:tr>
        <w:trPr>
          <w:trHeight w:val="211"/>
        </w:trPr>
        <w:tc>
          <w:tcPr>
            <w:tcW w:w="2640" w:type="dxa"/>
            <w:vAlign w:val="bottom"/>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6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47-3324577</w:t>
            </w:r>
          </w:p>
        </w:tc>
      </w:tr>
      <w:tr>
        <w:trPr>
          <w:trHeight w:val="147"/>
        </w:trPr>
        <w:tc>
          <w:tcPr>
            <w:tcW w:w="2640" w:type="dxa"/>
            <w:vAlign w:val="bottom"/>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600" w:type="dxa"/>
            <w:vAlign w:val="bottom"/>
          </w:tcPr>
          <w:p>
            <w:pPr>
              <w:jc w:val="center"/>
              <w:ind w:left="3421"/>
              <w:spacing w:after="0" w:line="14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7"/>
        </w:trPr>
        <w:tc>
          <w:tcPr>
            <w:tcW w:w="264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600" w:type="dxa"/>
            <w:vAlign w:val="bottom"/>
          </w:tcPr>
          <w:p>
            <w:pPr>
              <w:jc w:val="center"/>
              <w:ind w:left="34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3"/>
        </w:trPr>
        <w:tc>
          <w:tcPr>
            <w:tcW w:w="2640" w:type="dxa"/>
            <w:vAlign w:val="bottom"/>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40 Guest Street</w:t>
            </w:r>
          </w:p>
        </w:tc>
        <w:tc>
          <w:tcPr>
            <w:tcW w:w="4600" w:type="dxa"/>
            <w:vAlign w:val="bottom"/>
          </w:tcPr>
          <w:p>
            <w:pPr>
              <w:spacing w:after="0"/>
              <w:rPr>
                <w:sz w:val="24"/>
                <w:szCs w:val="24"/>
                <w:color w:val="auto"/>
              </w:rPr>
            </w:pPr>
          </w:p>
        </w:tc>
      </w:tr>
      <w:tr>
        <w:trPr>
          <w:trHeight w:val="225"/>
        </w:trPr>
        <w:tc>
          <w:tcPr>
            <w:tcW w:w="2640" w:type="dxa"/>
            <w:vAlign w:val="bottom"/>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Boston, MA</w:t>
            </w:r>
          </w:p>
        </w:tc>
        <w:tc>
          <w:tcPr>
            <w:tcW w:w="4600" w:type="dxa"/>
            <w:vAlign w:val="bottom"/>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02135</w:t>
            </w:r>
          </w:p>
        </w:tc>
      </w:tr>
      <w:tr>
        <w:trPr>
          <w:trHeight w:val="187"/>
        </w:trPr>
        <w:tc>
          <w:tcPr>
            <w:tcW w:w="264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600" w:type="dxa"/>
            <w:vAlign w:val="bottom"/>
          </w:tcPr>
          <w:p>
            <w:pPr>
              <w:jc w:val="center"/>
              <w:ind w:left="342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88"/>
        </w:trPr>
        <w:tc>
          <w:tcPr>
            <w:tcW w:w="2640" w:type="dxa"/>
            <w:vAlign w:val="bottom"/>
          </w:tcPr>
          <w:p>
            <w:pPr>
              <w:spacing w:after="0"/>
              <w:rPr>
                <w:sz w:val="24"/>
                <w:szCs w:val="24"/>
                <w:color w:val="auto"/>
              </w:rPr>
            </w:pPr>
          </w:p>
        </w:tc>
        <w:tc>
          <w:tcPr>
            <w:tcW w:w="4600" w:type="dxa"/>
            <w:vAlign w:val="bottom"/>
          </w:tcPr>
          <w:p>
            <w:pPr>
              <w:jc w:val="center"/>
              <w:ind w:right="2041"/>
              <w:spacing w:after="0"/>
              <w:rPr>
                <w:sz w:val="20"/>
                <w:szCs w:val="20"/>
                <w:color w:val="auto"/>
              </w:rPr>
            </w:pPr>
            <w:r>
              <w:rPr>
                <w:rFonts w:ascii="Times New Roman" w:cs="Times New Roman" w:eastAsia="Times New Roman" w:hAnsi="Times New Roman"/>
                <w:sz w:val="18"/>
                <w:szCs w:val="18"/>
                <w:b w:val="1"/>
                <w:bCs w:val="1"/>
                <w:color w:val="auto"/>
                <w:w w:val="98"/>
              </w:rPr>
              <w:t>2026 Stock Incentive Plan</w:t>
            </w:r>
          </w:p>
        </w:tc>
      </w:tr>
      <w:tr>
        <w:trPr>
          <w:trHeight w:val="187"/>
        </w:trPr>
        <w:tc>
          <w:tcPr>
            <w:tcW w:w="2640" w:type="dxa"/>
            <w:vAlign w:val="bottom"/>
          </w:tcPr>
          <w:p>
            <w:pPr>
              <w:spacing w:after="0"/>
              <w:rPr>
                <w:sz w:val="16"/>
                <w:szCs w:val="16"/>
                <w:color w:val="auto"/>
              </w:rPr>
            </w:pPr>
          </w:p>
        </w:tc>
        <w:tc>
          <w:tcPr>
            <w:tcW w:w="4600" w:type="dxa"/>
            <w:vAlign w:val="bottom"/>
          </w:tcPr>
          <w:p>
            <w:pPr>
              <w:jc w:val="center"/>
              <w:ind w:right="2021"/>
              <w:spacing w:after="0"/>
              <w:rPr>
                <w:sz w:val="20"/>
                <w:szCs w:val="20"/>
                <w:color w:val="auto"/>
              </w:rPr>
            </w:pPr>
            <w:r>
              <w:rPr>
                <w:rFonts w:ascii="Times New Roman" w:cs="Times New Roman" w:eastAsia="Times New Roman" w:hAnsi="Times New Roman"/>
                <w:sz w:val="14"/>
                <w:szCs w:val="14"/>
                <w:b w:val="1"/>
                <w:bCs w:val="1"/>
                <w:color w:val="auto"/>
              </w:rPr>
              <w:t>(Full title of the plan)</w:t>
            </w:r>
          </w:p>
        </w:tc>
      </w:tr>
    </w:tbl>
    <w:p>
      <w:pPr>
        <w:spacing w:after="0" w:line="17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Shao-Lee Lin, M.D., Ph.D.</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Cue Biopharma, Inc.</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40 Guest Street</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Boston, MA 02135</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(617) 949-2680</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224155</wp:posOffset>
            </wp:positionV>
            <wp:extent cx="1450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30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26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7" w:lineRule="exact"/>
        <w:rPr>
          <w:sz w:val="24"/>
          <w:szCs w:val="24"/>
          <w:color w:val="auto"/>
        </w:rPr>
      </w:pPr>
    </w:p>
    <w:p>
      <w:pPr>
        <w:ind w:right="240"/>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126365</wp:posOffset>
            </wp:positionV>
            <wp:extent cx="6921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168275</wp:posOffset>
            </wp:positionV>
            <wp:extent cx="6921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ectPr>
          <w:pgSz w:w="11900" w:h="16838" w:orient="portrait"/>
          <w:cols w:equalWidth="0" w:num="1">
            <w:col w:w="10840"/>
          </w:cols>
          <w:pgMar w:left="500" w:top="224" w:right="559" w:bottom="1440" w:gutter="0" w:footer="0" w:header="0"/>
        </w:sectPr>
      </w:pPr>
    </w:p>
    <w:bookmarkStart w:id="1" w:name="page2"/>
    <w:bookmarkEnd w:id="1"/>
    <w:p>
      <w:pPr>
        <w:jc w:val="center"/>
        <w:ind w:right="-65"/>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PART I</w:t>
      </w:r>
    </w:p>
    <w:p>
      <w:pPr>
        <w:spacing w:after="0" w:line="30" w:lineRule="exact"/>
        <w:rPr>
          <w:sz w:val="20"/>
          <w:szCs w:val="20"/>
          <w:color w:val="auto"/>
        </w:rPr>
      </w:pPr>
    </w:p>
    <w:p>
      <w:pPr>
        <w:jc w:val="center"/>
        <w:ind w:right="-65"/>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198"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b w:val="1"/>
          <w:bCs w:val="1"/>
          <w:color w:val="auto"/>
        </w:rPr>
        <w:t>Item 1. Plan Information.</w:t>
      </w:r>
    </w:p>
    <w:p>
      <w:pPr>
        <w:spacing w:after="0" w:line="118" w:lineRule="exact"/>
        <w:rPr>
          <w:sz w:val="20"/>
          <w:szCs w:val="20"/>
          <w:color w:val="auto"/>
        </w:rPr>
      </w:pPr>
    </w:p>
    <w:p>
      <w:pPr>
        <w:jc w:val="both"/>
        <w:ind w:left="6" w:firstLine="436"/>
        <w:spacing w:after="0" w:line="262" w:lineRule="auto"/>
        <w:rPr>
          <w:sz w:val="20"/>
          <w:szCs w:val="20"/>
          <w:color w:val="auto"/>
        </w:rPr>
      </w:pPr>
      <w:r>
        <w:rPr>
          <w:rFonts w:ascii="Times New Roman" w:cs="Times New Roman" w:eastAsia="Times New Roman" w:hAnsi="Times New Roman"/>
          <w:sz w:val="18"/>
          <w:szCs w:val="18"/>
          <w:color w:val="auto"/>
        </w:rPr>
        <w:t>The information required by Item 1 is omitted from this registration statement and included in documents sent or given to participants in the plan covered by this registration statement pursuant to Rule 428(b)(1) of the Securities Act of 1933, as amended (the “Securities Act”), and the Note to Part I of Form S-8.</w:t>
      </w:r>
    </w:p>
    <w:p>
      <w:pPr>
        <w:spacing w:after="0" w:line="66"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b w:val="1"/>
          <w:bCs w:val="1"/>
          <w:color w:val="auto"/>
        </w:rPr>
        <w:t>Item 2. Registrant Information and Employee Plan Annual Information.</w:t>
      </w:r>
    </w:p>
    <w:p>
      <w:pPr>
        <w:spacing w:after="0" w:line="118" w:lineRule="exact"/>
        <w:rPr>
          <w:sz w:val="20"/>
          <w:szCs w:val="20"/>
          <w:color w:val="auto"/>
        </w:rPr>
      </w:pPr>
    </w:p>
    <w:p>
      <w:pPr>
        <w:ind w:left="6" w:right="160" w:firstLine="436"/>
        <w:spacing w:after="0" w:line="277" w:lineRule="auto"/>
        <w:rPr>
          <w:sz w:val="20"/>
          <w:szCs w:val="20"/>
          <w:color w:val="auto"/>
        </w:rPr>
      </w:pPr>
      <w:r>
        <w:rPr>
          <w:rFonts w:ascii="Times New Roman" w:cs="Times New Roman" w:eastAsia="Times New Roman" w:hAnsi="Times New Roman"/>
          <w:sz w:val="18"/>
          <w:szCs w:val="18"/>
          <w:color w:val="auto"/>
        </w:rPr>
        <w:t>The written statement required by Item 2 is omitted from this registration statement and included in documents sent or given, without charge, to participants in the plan covered by this registration statement pursuant to Rule 428(b)(1) of the Securities Act and the Note to Part I of Form S-8.</w:t>
      </w:r>
    </w:p>
    <w:p>
      <w:pPr>
        <w:spacing w:after="0" w:line="373" w:lineRule="exact"/>
        <w:rPr>
          <w:sz w:val="20"/>
          <w:szCs w:val="20"/>
          <w:color w:val="auto"/>
        </w:rPr>
      </w:pPr>
    </w:p>
    <w:p>
      <w:pPr>
        <w:jc w:val="center"/>
        <w:ind w:right="-65"/>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0" w:lineRule="exact"/>
        <w:rPr>
          <w:sz w:val="20"/>
          <w:szCs w:val="20"/>
          <w:color w:val="auto"/>
        </w:rPr>
      </w:pPr>
    </w:p>
    <w:p>
      <w:pPr>
        <w:jc w:val="center"/>
        <w:ind w:right="-65"/>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198"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18" w:lineRule="exact"/>
        <w:rPr>
          <w:sz w:val="20"/>
          <w:szCs w:val="20"/>
          <w:color w:val="auto"/>
        </w:rPr>
      </w:pPr>
    </w:p>
    <w:p>
      <w:pPr>
        <w:jc w:val="both"/>
        <w:ind w:left="6" w:right="60" w:firstLine="436"/>
        <w:spacing w:after="0" w:line="257" w:lineRule="auto"/>
        <w:rPr>
          <w:sz w:val="20"/>
          <w:szCs w:val="20"/>
          <w:color w:val="auto"/>
        </w:rPr>
      </w:pPr>
      <w:r>
        <w:rPr>
          <w:rFonts w:ascii="Times New Roman" w:cs="Times New Roman" w:eastAsia="Times New Roman" w:hAnsi="Times New Roman"/>
          <w:sz w:val="18"/>
          <w:szCs w:val="18"/>
          <w:color w:val="auto"/>
        </w:rPr>
        <w:t>The Registrant is subject to the informational and reporting requirements of Sections 13(a), 14 and 15(d) of the Securities Exchange Act of 1934, as amended (the “Exchange Act”), and in accordance therewith files reports, proxy statements and other information with the Securities and Exchange Commission (the “Commission”). The following documents, which are on file with the Commission, are incorporated in this registration statement by reference:</w:t>
      </w:r>
    </w:p>
    <w:p>
      <w:pPr>
        <w:spacing w:after="0" w:line="75" w:lineRule="exact"/>
        <w:rPr>
          <w:sz w:val="20"/>
          <w:szCs w:val="20"/>
          <w:color w:val="auto"/>
        </w:rPr>
      </w:pPr>
    </w:p>
    <w:p>
      <w:pPr>
        <w:ind w:left="6" w:right="80" w:hanging="6"/>
        <w:spacing w:after="0" w:line="262" w:lineRule="auto"/>
        <w:tabs>
          <w:tab w:leader="none" w:pos="24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1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2025, as filed with the Commission on March 16, 2026, including the information specifically incorporated by reference into the Annual Report on Form 10-K from the Registrant’s </w:t>
      </w:r>
      <w:hyperlink r:id="rId18">
        <w:r>
          <w:rPr>
            <w:rFonts w:ascii="Times New Roman" w:cs="Times New Roman" w:eastAsia="Times New Roman" w:hAnsi="Times New Roman"/>
            <w:sz w:val="18"/>
            <w:szCs w:val="18"/>
            <w:u w:val="single" w:color="auto"/>
            <w:color w:val="0000EE"/>
          </w:rPr>
          <w:t>definitive proxy statement</w:t>
        </w:r>
      </w:hyperlink>
      <w:r>
        <w:rPr>
          <w:rFonts w:ascii="Times New Roman" w:cs="Times New Roman" w:eastAsia="Times New Roman" w:hAnsi="Times New Roman"/>
          <w:sz w:val="18"/>
          <w:szCs w:val="18"/>
          <w:color w:val="auto"/>
        </w:rPr>
        <w:t xml:space="preserve"> for the 2026 Annual Meeting of Stockholders;</w:t>
      </w:r>
    </w:p>
    <w:p>
      <w:pPr>
        <w:spacing w:after="0" w:line="70" w:lineRule="exact"/>
        <w:rPr>
          <w:rFonts w:ascii="Times New Roman" w:cs="Times New Roman" w:eastAsia="Times New Roman" w:hAnsi="Times New Roman"/>
          <w:sz w:val="18"/>
          <w:szCs w:val="18"/>
          <w:color w:val="auto"/>
        </w:rPr>
      </w:pPr>
    </w:p>
    <w:p>
      <w:pPr>
        <w:ind w:left="246" w:hanging="246"/>
        <w:spacing w:after="0"/>
        <w:tabs>
          <w:tab w:leader="none" w:pos="24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 on Form 10-Q for the fiscal quarter ended March 31, 2026, as filed with the Commission on </w:t>
      </w:r>
      <w:hyperlink r:id="rId19">
        <w:r>
          <w:rPr>
            <w:rFonts w:ascii="Times New Roman" w:cs="Times New Roman" w:eastAsia="Times New Roman" w:hAnsi="Times New Roman"/>
            <w:sz w:val="18"/>
            <w:szCs w:val="18"/>
            <w:u w:val="single" w:color="auto"/>
            <w:color w:val="0000EE"/>
          </w:rPr>
          <w:t>May 14, 2026</w:t>
        </w:r>
      </w:hyperlink>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6" w:right="120" w:hanging="6"/>
        <w:spacing w:after="0" w:line="277" w:lineRule="auto"/>
        <w:tabs>
          <w:tab w:leader="none" w:pos="248" w:val="left"/>
        </w:tabs>
        <w:numPr>
          <w:ilvl w:val="0"/>
          <w:numId w:val="1"/>
        </w:numPr>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auto"/>
          </w:rPr>
          <w:t xml:space="preserve">The Registrant’s Current Reports on Form 8-K as filed with the Commission on </w:t>
        </w:r>
        <w:r>
          <w:rPr>
            <w:rFonts w:ascii="Times New Roman" w:cs="Times New Roman" w:eastAsia="Times New Roman" w:hAnsi="Times New Roman"/>
            <w:sz w:val="18"/>
            <w:szCs w:val="18"/>
            <w:u w:val="single" w:color="auto"/>
            <w:color w:val="0000EE"/>
          </w:rPr>
          <w:t>February 12,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18,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27,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7,</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1">
        <w:r>
          <w:rPr>
            <w:rFonts w:ascii="Times New Roman" w:cs="Times New Roman" w:eastAsia="Times New Roman" w:hAnsi="Times New Roman"/>
            <w:sz w:val="18"/>
            <w:szCs w:val="18"/>
            <w:u w:val="single" w:color="auto"/>
            <w:color w:val="0000EE"/>
          </w:rPr>
          <w:t>April 13, 2026</w:t>
        </w:r>
      </w:hyperlink>
      <w:hyperlink r:id="rId20">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2">
        <w:r>
          <w:rPr>
            <w:rFonts w:ascii="Times New Roman" w:cs="Times New Roman" w:eastAsia="Times New Roman" w:hAnsi="Times New Roman"/>
            <w:sz w:val="18"/>
            <w:szCs w:val="18"/>
            <w:u w:val="single" w:color="auto"/>
            <w:color w:val="0000EE"/>
          </w:rPr>
          <w:t>April 22, 2026</w:t>
        </w:r>
      </w:hyperlink>
      <w:hyperlink r:id="rId20">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3">
        <w:r>
          <w:rPr>
            <w:rFonts w:ascii="Times New Roman" w:cs="Times New Roman" w:eastAsia="Times New Roman" w:hAnsi="Times New Roman"/>
            <w:sz w:val="18"/>
            <w:szCs w:val="18"/>
            <w:u w:val="single" w:color="auto"/>
            <w:color w:val="0000EE"/>
          </w:rPr>
          <w:t xml:space="preserve">May 1, 2026 </w:t>
        </w:r>
      </w:hyperlink>
      <w:hyperlink r:id="rId20">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24">
        <w:r>
          <w:rPr>
            <w:rFonts w:ascii="Times New Roman" w:cs="Times New Roman" w:eastAsia="Times New Roman" w:hAnsi="Times New Roman"/>
            <w:sz w:val="18"/>
            <w:szCs w:val="18"/>
            <w:u w:val="single" w:color="auto"/>
            <w:color w:val="0000EE"/>
          </w:rPr>
          <w:t>June 2, 2026</w:t>
        </w:r>
      </w:hyperlink>
      <w:hyperlink r:id="rId20">
        <w:r>
          <w:rPr>
            <w:rFonts w:ascii="Times New Roman" w:cs="Times New Roman" w:eastAsia="Times New Roman" w:hAnsi="Times New Roman"/>
            <w:sz w:val="18"/>
            <w:szCs w:val="18"/>
            <w:color w:val="000000"/>
          </w:rPr>
          <w:t>; and</w:t>
        </w:r>
      </w:hyperlink>
    </w:p>
    <w:p>
      <w:pPr>
        <w:spacing w:after="0" w:line="56" w:lineRule="exact"/>
        <w:rPr>
          <w:rFonts w:ascii="Times New Roman" w:cs="Times New Roman" w:eastAsia="Times New Roman" w:hAnsi="Times New Roman"/>
          <w:sz w:val="18"/>
          <w:szCs w:val="18"/>
          <w:color w:val="0000EE"/>
        </w:rPr>
      </w:pPr>
    </w:p>
    <w:p>
      <w:pPr>
        <w:ind w:left="6" w:right="140" w:hanging="6"/>
        <w:spacing w:after="0" w:line="257" w:lineRule="auto"/>
        <w:tabs>
          <w:tab w:leader="none" w:pos="258" w:val="left"/>
        </w:tabs>
        <w:numPr>
          <w:ilvl w:val="0"/>
          <w:numId w:val="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the Registrant’s common stock contained in the Registrant’s Registration Statement on </w:t>
      </w:r>
      <w:hyperlink r:id="rId25">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xml:space="preserve">, as filed with the Commission on December 13, 2017, as the description therein has been updated and superseded by the description of the Registrant’s capital stock contained in </w:t>
      </w:r>
      <w:hyperlink r:id="rId26">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Registrant’s Annual Report on Form 10-K for the fiscal year ended December 31, 2025, as filed with the Commission on March 16,</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2026, and including any amendments and reports filed for the purpose of updating such description.</w:t>
      </w:r>
    </w:p>
    <w:p>
      <w:pPr>
        <w:spacing w:after="0" w:line="182" w:lineRule="exact"/>
        <w:rPr>
          <w:rFonts w:ascii="Times New Roman" w:cs="Times New Roman" w:eastAsia="Times New Roman" w:hAnsi="Times New Roman"/>
          <w:sz w:val="18"/>
          <w:szCs w:val="18"/>
          <w:color w:val="auto"/>
        </w:rPr>
      </w:pPr>
    </w:p>
    <w:p>
      <w:pPr>
        <w:ind w:left="6" w:right="60" w:firstLine="436"/>
        <w:spacing w:after="0" w:line="252" w:lineRule="auto"/>
        <w:rPr>
          <w:sz w:val="20"/>
          <w:szCs w:val="20"/>
          <w:color w:val="auto"/>
        </w:rPr>
      </w:pPr>
      <w:r>
        <w:rPr>
          <w:rFonts w:ascii="Times New Roman" w:cs="Times New Roman" w:eastAsia="Times New Roman" w:hAnsi="Times New Roman"/>
          <w:sz w:val="18"/>
          <w:szCs w:val="18"/>
          <w:color w:val="auto"/>
        </w:rPr>
        <w:t>All documents subsequently filed by the Registrant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in this registration statement and to be part hereof from the date of the filing of such documents. 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ectPr>
          <w:pgSz w:w="11900" w:h="16838" w:orient="portrait"/>
          <w:cols w:equalWidth="0" w:num="1">
            <w:col w:w="10846"/>
          </w:cols>
          <w:pgMar w:left="494" w:top="264" w:right="559" w:bottom="1440" w:gutter="0" w:footer="0" w:header="0"/>
        </w:sectPr>
      </w:pPr>
    </w:p>
    <w:bookmarkStart w:id="2" w:name="page3"/>
    <w:bookmarkEnd w:id="2"/>
    <w:p>
      <w:pPr>
        <w:ind w:lef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Item 4. Description of Securities.</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18" w:lineRule="exact"/>
        <w:rPr>
          <w:sz w:val="20"/>
          <w:szCs w:val="20"/>
          <w:color w:val="auto"/>
        </w:rPr>
      </w:pPr>
    </w:p>
    <w:p>
      <w:pPr>
        <w:ind w:right="300" w:firstLine="436"/>
        <w:spacing w:after="0" w:line="262" w:lineRule="auto"/>
        <w:rPr>
          <w:sz w:val="20"/>
          <w:szCs w:val="20"/>
          <w:color w:val="auto"/>
        </w:rPr>
      </w:pPr>
      <w:r>
        <w:rPr>
          <w:rFonts w:ascii="Times New Roman" w:cs="Times New Roman" w:eastAsia="Times New Roman" w:hAnsi="Times New Roman"/>
          <w:sz w:val="18"/>
          <w:szCs w:val="18"/>
          <w:color w:val="auto"/>
        </w:rPr>
        <w:t>The following summary is qualified in its entirety by reference to the complete Delaware General Corporation Law (the “DGCL”) and the Registrant’s Amended and Restated Certificate of Incorporation, as amended (the “Certificate of Incorporation”), and the Registrant’s Amended and Restated Bylaws.</w:t>
      </w:r>
    </w:p>
    <w:p>
      <w:pPr>
        <w:spacing w:after="0" w:line="70" w:lineRule="exact"/>
        <w:rPr>
          <w:sz w:val="20"/>
          <w:szCs w:val="20"/>
          <w:color w:val="auto"/>
        </w:rPr>
      </w:pPr>
    </w:p>
    <w:p>
      <w:pPr>
        <w:ind w:firstLine="436"/>
        <w:spacing w:after="0" w:line="250" w:lineRule="auto"/>
        <w:rPr>
          <w:sz w:val="20"/>
          <w:szCs w:val="20"/>
          <w:color w:val="auto"/>
        </w:rPr>
      </w:pPr>
      <w:r>
        <w:rPr>
          <w:rFonts w:ascii="Times New Roman" w:cs="Times New Roman" w:eastAsia="Times New Roman" w:hAnsi="Times New Roman"/>
          <w:sz w:val="18"/>
          <w:szCs w:val="18"/>
          <w:color w:val="auto"/>
        </w:rPr>
        <w:t>Section 145 of the DGCL provides, generally, that a corporation shall have the power to indemnify any person who was or is a party or is threatened to be made a party to any threatened, pending or completed action, suit or proceeding (except actions by or in the right of the corporation) by reason of the fact that such person is or was a director, officer, employee or agent of the corporation against all expenses,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his or her conduct was unlawful. A corporation may similarly indemnify such person for expenses actually and reasonably incurred by such person in connection with the defense or settlement of any action or suit by or in the right of the corporation, provided that such person acted in good faith and in a manner he or she reasonably believed to be in or not opposed to the best interests of the corporation, and, in the case of claims, issues and matters as to which such person shall have been adjudged liable to the corporation, provided that a court shall have determined, upon application, that, despite the adjudication of liability but in view of all of the circumstances of the case, such person is fairly and reasonably entitled to indemnity for such expenses which such court shall deem proper.</w:t>
      </w:r>
    </w:p>
    <w:p>
      <w:pPr>
        <w:spacing w:after="0" w:line="193" w:lineRule="exact"/>
        <w:rPr>
          <w:sz w:val="20"/>
          <w:szCs w:val="20"/>
          <w:color w:val="auto"/>
        </w:rPr>
      </w:pPr>
    </w:p>
    <w:p>
      <w:pPr>
        <w:ind w:right="40" w:firstLine="436"/>
        <w:spacing w:after="0" w:line="252" w:lineRule="auto"/>
        <w:rPr>
          <w:sz w:val="20"/>
          <w:szCs w:val="20"/>
          <w:color w:val="auto"/>
        </w:rPr>
      </w:pPr>
      <w:r>
        <w:rPr>
          <w:rFonts w:ascii="Times New Roman" w:cs="Times New Roman" w:eastAsia="Times New Roman" w:hAnsi="Times New Roman"/>
          <w:sz w:val="18"/>
          <w:szCs w:val="18"/>
          <w:color w:val="auto"/>
        </w:rPr>
        <w:t>Section 102(b)(7) of the DGCL provides, generally, that the Certificate of Incorporation may contain a provision eliminating or limiting the personal liability of a director or officer to the corporation or its stockholders for monetary damages for breach of fiduciary duty as a director or officer, provided that such provision may not eliminate or limit the liability of (i) a director or officer for any breach of the director’s or officer’s duty of loyalty to the corporation or its stockholders, (ii) a director or officer for acts or omissions not in good faith or which involve intentional misconduct or a knowing violation of law, (iii) a director under section 174 of the DGCL, (iv) a director or officer for any transaction from which the director or officer derived an improper personal benefit, or (v) an officer in any action by or in the right of the corporation. No such provision may eliminate or limit the liability of a director or officer for any act or omission occurring prior to the date when such provision became effective.</w:t>
      </w:r>
    </w:p>
    <w:p>
      <w:pPr>
        <w:spacing w:after="0" w:line="189" w:lineRule="exact"/>
        <w:rPr>
          <w:sz w:val="20"/>
          <w:szCs w:val="20"/>
          <w:color w:val="auto"/>
        </w:rPr>
      </w:pPr>
    </w:p>
    <w:p>
      <w:pPr>
        <w:ind w:right="140" w:firstLine="436"/>
        <w:spacing w:after="0" w:line="252" w:lineRule="auto"/>
        <w:rPr>
          <w:sz w:val="20"/>
          <w:szCs w:val="20"/>
          <w:color w:val="auto"/>
        </w:rPr>
      </w:pPr>
      <w:r>
        <w:rPr>
          <w:rFonts w:ascii="Times New Roman" w:cs="Times New Roman" w:eastAsia="Times New Roman" w:hAnsi="Times New Roman"/>
          <w:sz w:val="18"/>
          <w:szCs w:val="18"/>
          <w:color w:val="auto"/>
        </w:rPr>
        <w:t>Article VI of the Certificate of Incorporation states that the Registrant’s directors shall not be personally liable to the Registrant or to its stockholders for monetary damages for any breach of fiduciary duty as a director, notwithstanding any provision of law imposing such liability. Under Section 102(b)(7) of the DGCL, the personal liability of a director to the corporation or its stockholders for monetary damages for breach of fiduciary duty can be limited or eliminated except (i) for any breach of the director’s duty of loyalty to the corporation or its stockholders; (ii) for acts or omissions not in good faith or which involve intentional misconduct or a knowing violation of law; (iii) under Section 174 of the DGCL (relating to unlawful payment of dividend or unlawful stock purchase or redemption); or (iv) for any transaction from which the director derived an improper personal benefit.</w:t>
      </w:r>
    </w:p>
    <w:p>
      <w:pPr>
        <w:spacing w:after="0" w:line="189" w:lineRule="exact"/>
        <w:rPr>
          <w:sz w:val="20"/>
          <w:szCs w:val="20"/>
          <w:color w:val="auto"/>
        </w:rPr>
      </w:pPr>
    </w:p>
    <w:p>
      <w:pPr>
        <w:ind w:firstLine="436"/>
        <w:spacing w:after="0" w:line="277" w:lineRule="auto"/>
        <w:rPr>
          <w:sz w:val="20"/>
          <w:szCs w:val="20"/>
          <w:color w:val="auto"/>
        </w:rPr>
      </w:pPr>
      <w:r>
        <w:rPr>
          <w:rFonts w:ascii="Times New Roman" w:cs="Times New Roman" w:eastAsia="Times New Roman" w:hAnsi="Times New Roman"/>
          <w:sz w:val="18"/>
          <w:szCs w:val="18"/>
          <w:color w:val="auto"/>
        </w:rPr>
        <w:t>Article V of the Certificate of Incorporation provides that the Registrant shall indemnify (and advance expenses to) its officers and directors to the full extent permitted by the DGCL.</w:t>
      </w:r>
    </w:p>
    <w:p>
      <w:pPr>
        <w:spacing w:after="0" w:line="163" w:lineRule="exact"/>
        <w:rPr>
          <w:sz w:val="20"/>
          <w:szCs w:val="20"/>
          <w:color w:val="auto"/>
        </w:rPr>
      </w:pPr>
    </w:p>
    <w:p>
      <w:pPr>
        <w:ind w:firstLine="436"/>
        <w:spacing w:after="0" w:line="257" w:lineRule="auto"/>
        <w:rPr>
          <w:sz w:val="20"/>
          <w:szCs w:val="20"/>
          <w:color w:val="auto"/>
        </w:rPr>
      </w:pPr>
      <w:r>
        <w:rPr>
          <w:rFonts w:ascii="Times New Roman" w:cs="Times New Roman" w:eastAsia="Times New Roman" w:hAnsi="Times New Roman"/>
          <w:sz w:val="18"/>
          <w:szCs w:val="18"/>
          <w:color w:val="auto"/>
        </w:rPr>
        <w:t>The Registrant has directors’ and officers’ liability insurance insuring its directors and officers against liability for acts or omissions in their capacities as directors or officers, subject to certain exclusions. Such insurance also insures the Registrant against losses which it may incur in indemnifying its officers and directors. As permitted by the DGCL, the Registrant has entered into indemnification agreements with each of its directors and executive</w:t>
      </w:r>
    </w:p>
    <w:p>
      <w:pPr>
        <w:sectPr>
          <w:pgSz w:w="11900" w:h="16838" w:orient="portrait"/>
          <w:cols w:equalWidth="0" w:num="1">
            <w:col w:w="10840"/>
          </w:cols>
          <w:pgMar w:left="500" w:top="264" w:right="559" w:bottom="1440" w:gutter="0" w:footer="0" w:header="0"/>
        </w:sectPr>
      </w:pPr>
    </w:p>
    <w:bookmarkStart w:id="3" w:name="page4"/>
    <w:bookmarkEnd w:id="3"/>
    <w:p>
      <w:pPr>
        <w:ind w:left="6" w:right="40"/>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officers that require the Registrant to indemnify such persons against various actions including, but not limited to, third-party actions where such director or executive officer, by reason of his or her corporate status, is a party or is threatened to be made a party to an action, or by reason of anything done or not done by such director in any such capacity. The Registrant intends to indemnify directors and executive officers against all costs, judgments, penalties, fines, liabilities, amounts paid in settlement by or on behalf of such directors or executive officers and for any expenses actually and reasonably incurred by such directors or executive officers in connection with such action, if such directors or executive officers acted in good faith and in a manner they reasonably believed to be in or not opposed to the best interests of the Registrant, and with respect to any criminal proceeding, had no reasonable cause to believe their conduct was unlawful. The Registrant also intends to advance to its directors and executive officers’ expenses (including attorney’s fees) incurred by such directors and executive officers in advance of the final disposition of any action after the receipt by the Registrant of a statement or statements from directors or executive officers requesting such payment or payments from time to time, provided that such statement or statements are accompanied by an undertaking, by or on behalf of such directors or executive officers, to repay such amount if it shall ultimately be determined that they are not entitled to be indemnified against such expenses by the Registrant.</w:t>
      </w:r>
    </w:p>
    <w:p>
      <w:pPr>
        <w:spacing w:after="0" w:line="193" w:lineRule="exact"/>
        <w:rPr>
          <w:sz w:val="20"/>
          <w:szCs w:val="20"/>
          <w:color w:val="auto"/>
        </w:rPr>
      </w:pPr>
    </w:p>
    <w:p>
      <w:pPr>
        <w:ind w:left="6" w:right="280" w:firstLine="436"/>
        <w:spacing w:after="0" w:line="257" w:lineRule="auto"/>
        <w:rPr>
          <w:sz w:val="20"/>
          <w:szCs w:val="20"/>
          <w:color w:val="auto"/>
        </w:rPr>
      </w:pPr>
      <w:r>
        <w:rPr>
          <w:rFonts w:ascii="Times New Roman" w:cs="Times New Roman" w:eastAsia="Times New Roman" w:hAnsi="Times New Roman"/>
          <w:sz w:val="18"/>
          <w:szCs w:val="18"/>
          <w:color w:val="auto"/>
        </w:rPr>
        <w:t>The indemnification agreements also set forth certain procedures that will apply in the event of a claim for indemnification or advancement of expenses, including, among others, provisions about providing notice to the Registrant of any action in connection with which a director or executive officer seeks indemnification or advancement of expenses from the Registrant and provisions concerning the determination of entitlement to indemnification or advancement of expenses.</w:t>
      </w:r>
    </w:p>
    <w:p>
      <w:pPr>
        <w:spacing w:after="0" w:line="71"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118"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Not applicable.</w:t>
      </w:r>
    </w:p>
    <w:p>
      <w:pPr>
        <w:spacing w:after="0" w:line="110"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4"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The following exhibits are incorporated herein by reference:</w:t>
      </w:r>
    </w:p>
    <w:p>
      <w:pPr>
        <w:spacing w:after="0" w:line="243" w:lineRule="exact"/>
        <w:rPr>
          <w:sz w:val="20"/>
          <w:szCs w:val="20"/>
          <w:color w:val="auto"/>
        </w:rPr>
      </w:pPr>
    </w:p>
    <w:tbl>
      <w:tblPr>
        <w:tblLayout w:type="fixed"/>
        <w:tblInd w:w="6" w:type="dxa"/>
        <w:tblCellMar>
          <w:top w:w="0" w:type="dxa"/>
          <w:left w:w="0" w:type="dxa"/>
          <w:bottom w:w="0" w:type="dxa"/>
          <w:right w:w="0" w:type="dxa"/>
        </w:tblCellMar>
      </w:tblPr>
      <w:tr>
        <w:trPr>
          <w:trHeight w:val="183"/>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Number</w:t>
            </w:r>
          </w:p>
        </w:tc>
        <w:tc>
          <w:tcPr>
            <w:tcW w:w="4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380" w:type="dxa"/>
            <w:vAlign w:val="bottom"/>
            <w:tcBorders>
              <w:bottom w:val="single" w:sz="8" w:color="auto"/>
            </w:tcBorders>
            <w:gridSpan w:val="11"/>
          </w:tcPr>
          <w:p>
            <w:pPr>
              <w:ind w:left="1080"/>
              <w:spacing w:after="0"/>
              <w:rPr>
                <w:sz w:val="20"/>
                <w:szCs w:val="20"/>
                <w:color w:val="auto"/>
              </w:rPr>
            </w:pPr>
            <w:r>
              <w:rPr>
                <w:rFonts w:ascii="Times New Roman" w:cs="Times New Roman" w:eastAsia="Times New Roman" w:hAnsi="Times New Roman"/>
                <w:sz w:val="14"/>
                <w:szCs w:val="14"/>
                <w:color w:val="auto"/>
              </w:rPr>
              <w:t>Description</w:t>
            </w:r>
          </w:p>
        </w:tc>
      </w:tr>
      <w:tr>
        <w:trPr>
          <w:trHeight w:val="26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92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8"/>
              </w:rPr>
            </w:pPr>
            <w:hyperlink r:id="rId29">
              <w:r>
                <w:rPr>
                  <w:rFonts w:ascii="Times New Roman" w:cs="Times New Roman" w:eastAsia="Times New Roman" w:hAnsi="Times New Roman"/>
                  <w:sz w:val="18"/>
                  <w:szCs w:val="18"/>
                  <w:color w:val="0000EE"/>
                  <w:w w:val="98"/>
                </w:rPr>
                <w:t>Amended and Restated Certificate of Incorporation, as amended, of the Registrant (incorporated by reference to Exhibit 3.1 to the</w:t>
              </w:r>
            </w:hyperlink>
          </w:p>
        </w:tc>
        <w:tc>
          <w:tcPr>
            <w:tcW w:w="660" w:type="dxa"/>
            <w:vAlign w:val="bottom"/>
            <w:gridSpan w:val="6"/>
          </w:tcPr>
          <w:p>
            <w:pPr>
              <w:spacing w:after="0"/>
              <w:rPr>
                <w:sz w:val="22"/>
                <w:szCs w:val="22"/>
                <w:color w:val="auto"/>
              </w:rPr>
            </w:pPr>
          </w:p>
        </w:tc>
      </w:tr>
      <w:tr>
        <w:trPr>
          <w:trHeight w:val="194"/>
        </w:trPr>
        <w:tc>
          <w:tcPr>
            <w:tcW w:w="980" w:type="dxa"/>
            <w:vAlign w:val="bottom"/>
          </w:tcPr>
          <w:p>
            <w:pPr>
              <w:spacing w:after="0"/>
              <w:rPr>
                <w:sz w:val="16"/>
                <w:szCs w:val="16"/>
                <w:color w:val="auto"/>
              </w:rPr>
            </w:pPr>
          </w:p>
        </w:tc>
        <w:tc>
          <w:tcPr>
            <w:tcW w:w="9920" w:type="dxa"/>
            <w:vAlign w:val="bottom"/>
            <w:gridSpan w:val="16"/>
          </w:tcPr>
          <w:p>
            <w:pPr>
              <w:spacing w:after="0" w:line="194"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Registrant’s Quarterly Report on Form 10-Q (File No. 001-38327) filed with the Securities and Exchange Commission on August 12,</w:t>
              </w:r>
            </w:hyperlink>
          </w:p>
        </w:tc>
      </w:tr>
      <w:tr>
        <w:trPr>
          <w:trHeight w:val="194"/>
        </w:trPr>
        <w:tc>
          <w:tcPr>
            <w:tcW w:w="980" w:type="dxa"/>
            <w:vAlign w:val="bottom"/>
          </w:tcPr>
          <w:p>
            <w:pPr>
              <w:spacing w:after="0"/>
              <w:rPr>
                <w:sz w:val="16"/>
                <w:szCs w:val="16"/>
                <w:color w:val="auto"/>
              </w:rPr>
            </w:pPr>
          </w:p>
        </w:tc>
        <w:tc>
          <w:tcPr>
            <w:tcW w:w="420" w:type="dxa"/>
            <w:vAlign w:val="bottom"/>
            <w:tcBorders>
              <w:top w:val="single" w:sz="8" w:color="0000EE"/>
              <w:bottom w:val="single" w:sz="8" w:color="0000EE"/>
            </w:tcBorders>
          </w:tcPr>
          <w:p>
            <w:pPr>
              <w:spacing w:after="0" w:line="194" w:lineRule="exact"/>
              <w:rPr>
                <w:rFonts w:ascii="Times New Roman" w:cs="Times New Roman" w:eastAsia="Times New Roman" w:hAnsi="Times New Roman"/>
                <w:sz w:val="18"/>
                <w:szCs w:val="18"/>
                <w:color w:val="0000EE"/>
                <w:w w:val="95"/>
              </w:rPr>
            </w:pPr>
            <w:hyperlink r:id="rId29">
              <w:r>
                <w:rPr>
                  <w:rFonts w:ascii="Times New Roman" w:cs="Times New Roman" w:eastAsia="Times New Roman" w:hAnsi="Times New Roman"/>
                  <w:sz w:val="18"/>
                  <w:szCs w:val="18"/>
                  <w:color w:val="0000EE"/>
                  <w:w w:val="95"/>
                </w:rPr>
                <w:t>2025)</w:t>
              </w:r>
            </w:hyperlink>
          </w:p>
        </w:tc>
        <w:tc>
          <w:tcPr>
            <w:tcW w:w="18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2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82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820" w:type="dxa"/>
            <w:vAlign w:val="bottom"/>
            <w:tcBorders>
              <w:top w:val="single" w:sz="8" w:color="0000EE"/>
            </w:tcBorders>
          </w:tcPr>
          <w:p>
            <w:pPr>
              <w:spacing w:after="0"/>
              <w:rPr>
                <w:sz w:val="16"/>
                <w:szCs w:val="16"/>
                <w:color w:val="auto"/>
              </w:rPr>
            </w:pPr>
          </w:p>
        </w:tc>
        <w:tc>
          <w:tcPr>
            <w:tcW w:w="1120" w:type="dxa"/>
            <w:vAlign w:val="bottom"/>
            <w:tcBorders>
              <w:top w:val="single" w:sz="8" w:color="0000EE"/>
            </w:tcBorders>
          </w:tcPr>
          <w:p>
            <w:pPr>
              <w:spacing w:after="0"/>
              <w:rPr>
                <w:sz w:val="16"/>
                <w:szCs w:val="16"/>
                <w:color w:val="auto"/>
              </w:rPr>
            </w:pPr>
          </w:p>
        </w:tc>
        <w:tc>
          <w:tcPr>
            <w:tcW w:w="15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30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9920" w:type="dxa"/>
            <w:vAlign w:val="bottom"/>
            <w:gridSpan w:val="16"/>
          </w:tcPr>
          <w:p>
            <w:pPr>
              <w:spacing w:after="0"/>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Certificate of Amendment to the Amended and Restated Certificate of Incorporation, as amended, of the Registrant (incorporated by</w:t>
              </w:r>
            </w:hyperlink>
          </w:p>
        </w:tc>
      </w:tr>
      <w:tr>
        <w:trPr>
          <w:trHeight w:val="20"/>
        </w:trPr>
        <w:tc>
          <w:tcPr>
            <w:tcW w:w="980" w:type="dxa"/>
            <w:vAlign w:val="bottom"/>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4"/>
        </w:trPr>
        <w:tc>
          <w:tcPr>
            <w:tcW w:w="980" w:type="dxa"/>
            <w:vAlign w:val="bottom"/>
          </w:tcPr>
          <w:p>
            <w:pPr>
              <w:spacing w:after="0"/>
              <w:rPr>
                <w:sz w:val="16"/>
                <w:szCs w:val="16"/>
                <w:color w:val="auto"/>
              </w:rPr>
            </w:pPr>
          </w:p>
        </w:tc>
        <w:tc>
          <w:tcPr>
            <w:tcW w:w="9920" w:type="dxa"/>
            <w:vAlign w:val="bottom"/>
            <w:gridSpan w:val="16"/>
          </w:tcPr>
          <w:p>
            <w:pPr>
              <w:spacing w:after="0" w:line="194"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reference to Exhibit 3.1 to the Registrant’s Current Report on Form 8-K (File No. 001-38327) filed with the Securities and Exchange</w:t>
              </w:r>
            </w:hyperlink>
          </w:p>
        </w:tc>
      </w:tr>
      <w:tr>
        <w:trPr>
          <w:trHeight w:val="194"/>
        </w:trPr>
        <w:tc>
          <w:tcPr>
            <w:tcW w:w="980" w:type="dxa"/>
            <w:vAlign w:val="bottom"/>
          </w:tcPr>
          <w:p>
            <w:pPr>
              <w:spacing w:after="0"/>
              <w:rPr>
                <w:sz w:val="16"/>
                <w:szCs w:val="16"/>
                <w:color w:val="auto"/>
              </w:rPr>
            </w:pPr>
          </w:p>
        </w:tc>
        <w:tc>
          <w:tcPr>
            <w:tcW w:w="2280" w:type="dxa"/>
            <w:vAlign w:val="bottom"/>
            <w:tcBorders>
              <w:top w:val="single" w:sz="8" w:color="0000EE"/>
              <w:bottom w:val="single" w:sz="8" w:color="0000EE"/>
            </w:tcBorders>
            <w:gridSpan w:val="2"/>
          </w:tcPr>
          <w:p>
            <w:pPr>
              <w:spacing w:after="0" w:line="194" w:lineRule="exact"/>
              <w:rPr>
                <w:rFonts w:ascii="Times New Roman" w:cs="Times New Roman" w:eastAsia="Times New Roman" w:hAnsi="Times New Roman"/>
                <w:sz w:val="18"/>
                <w:szCs w:val="18"/>
                <w:color w:val="0000EE"/>
                <w:w w:val="98"/>
              </w:rPr>
            </w:pPr>
            <w:hyperlink r:id="rId30">
              <w:r>
                <w:rPr>
                  <w:rFonts w:ascii="Times New Roman" w:cs="Times New Roman" w:eastAsia="Times New Roman" w:hAnsi="Times New Roman"/>
                  <w:sz w:val="18"/>
                  <w:szCs w:val="18"/>
                  <w:color w:val="0000EE"/>
                  <w:w w:val="98"/>
                </w:rPr>
                <w:t>Commission on April 22, 2026)</w:t>
              </w:r>
            </w:hyperlink>
          </w:p>
        </w:tc>
        <w:tc>
          <w:tcPr>
            <w:tcW w:w="7180" w:type="dxa"/>
            <w:vAlign w:val="bottom"/>
            <w:tcBorders>
              <w:top w:val="single" w:sz="8" w:color="0000EE"/>
            </w:tcBorders>
            <w:gridSpan w:val="10"/>
          </w:tcPr>
          <w:p>
            <w:pPr>
              <w:spacing w:after="0"/>
              <w:rPr>
                <w:sz w:val="16"/>
                <w:szCs w:val="16"/>
                <w:color w:val="auto"/>
              </w:rPr>
            </w:pPr>
          </w:p>
        </w:tc>
        <w:tc>
          <w:tcPr>
            <w:tcW w:w="460" w:type="dxa"/>
            <w:vAlign w:val="bottom"/>
            <w:gridSpan w:val="4"/>
          </w:tcPr>
          <w:p>
            <w:pPr>
              <w:spacing w:after="0"/>
              <w:rPr>
                <w:sz w:val="16"/>
                <w:szCs w:val="16"/>
                <w:color w:val="auto"/>
              </w:rPr>
            </w:pPr>
          </w:p>
        </w:tc>
      </w:tr>
      <w:tr>
        <w:trPr>
          <w:trHeight w:val="30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9920" w:type="dxa"/>
            <w:vAlign w:val="bottom"/>
            <w:gridSpan w:val="16"/>
          </w:tcPr>
          <w:p>
            <w:pPr>
              <w:spacing w:after="0"/>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Amended and Restated Bylaws of the Registrant (incorporated by reference to Exhibit 3.5 to the Registrant’s Registration Statement on</w:t>
              </w:r>
            </w:hyperlink>
          </w:p>
        </w:tc>
      </w:tr>
      <w:tr>
        <w:trPr>
          <w:trHeight w:val="194"/>
        </w:trPr>
        <w:tc>
          <w:tcPr>
            <w:tcW w:w="980" w:type="dxa"/>
            <w:vAlign w:val="bottom"/>
          </w:tcPr>
          <w:p>
            <w:pPr>
              <w:spacing w:after="0"/>
              <w:rPr>
                <w:sz w:val="16"/>
                <w:szCs w:val="16"/>
                <w:color w:val="auto"/>
              </w:rPr>
            </w:pPr>
          </w:p>
        </w:tc>
        <w:tc>
          <w:tcPr>
            <w:tcW w:w="9640" w:type="dxa"/>
            <w:vAlign w:val="bottom"/>
            <w:tcBorders>
              <w:top w:val="single" w:sz="8" w:color="0000EE"/>
            </w:tcBorders>
            <w:gridSpan w:val="14"/>
          </w:tcPr>
          <w:p>
            <w:pPr>
              <w:spacing w:after="0" w:line="194"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Form S-1 (File No. 333-220550) filed with the Securities and Exchange Commission on December 5, 2017)</w:t>
              </w:r>
            </w:hyperlink>
          </w:p>
        </w:tc>
        <w:tc>
          <w:tcPr>
            <w:tcW w:w="280" w:type="dxa"/>
            <w:vAlign w:val="bottom"/>
            <w:gridSpan w:val="2"/>
          </w:tcPr>
          <w:p>
            <w:pPr>
              <w:spacing w:after="0"/>
              <w:rPr>
                <w:sz w:val="16"/>
                <w:szCs w:val="16"/>
                <w:color w:val="auto"/>
              </w:rPr>
            </w:pPr>
          </w:p>
        </w:tc>
      </w:tr>
      <w:tr>
        <w:trPr>
          <w:trHeight w:val="30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354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Opinion of Cooley LLP, counsel to the Registrant</w:t>
            </w:r>
          </w:p>
        </w:tc>
        <w:tc>
          <w:tcPr>
            <w:tcW w:w="4160" w:type="dxa"/>
            <w:vAlign w:val="bottom"/>
            <w:tcBorders>
              <w:top w:val="single" w:sz="8" w:color="0000EE"/>
            </w:tcBorders>
            <w:gridSpan w:val="4"/>
          </w:tcPr>
          <w:p>
            <w:pPr>
              <w:spacing w:after="0"/>
              <w:rPr>
                <w:sz w:val="24"/>
                <w:szCs w:val="24"/>
                <w:color w:val="auto"/>
              </w:rPr>
            </w:pPr>
          </w:p>
        </w:tc>
        <w:tc>
          <w:tcPr>
            <w:tcW w:w="2220" w:type="dxa"/>
            <w:vAlign w:val="bottom"/>
            <w:gridSpan w:val="7"/>
          </w:tcPr>
          <w:p>
            <w:pPr>
              <w:spacing w:after="0"/>
              <w:rPr>
                <w:sz w:val="24"/>
                <w:szCs w:val="24"/>
                <w:color w:val="auto"/>
              </w:rPr>
            </w:pPr>
          </w:p>
        </w:tc>
      </w:tr>
      <w:tr>
        <w:trPr>
          <w:trHeight w:val="30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35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Consent of Cooley LLP (included in Exhibit 5.1)</w:t>
            </w:r>
          </w:p>
        </w:tc>
        <w:tc>
          <w:tcPr>
            <w:tcW w:w="6420" w:type="dxa"/>
            <w:vAlign w:val="bottom"/>
            <w:gridSpan w:val="12"/>
          </w:tcPr>
          <w:p>
            <w:pPr>
              <w:spacing w:after="0"/>
              <w:rPr>
                <w:sz w:val="24"/>
                <w:szCs w:val="24"/>
                <w:color w:val="auto"/>
              </w:rPr>
            </w:pPr>
          </w:p>
        </w:tc>
      </w:tr>
      <w:tr>
        <w:trPr>
          <w:trHeight w:val="30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53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Consent of RSM US LLP, Independent Registered Public Accounting Firm</w:t>
            </w:r>
          </w:p>
        </w:tc>
        <w:tc>
          <w:tcPr>
            <w:tcW w:w="4560" w:type="dxa"/>
            <w:vAlign w:val="bottom"/>
            <w:gridSpan w:val="10"/>
          </w:tcPr>
          <w:p>
            <w:pPr>
              <w:spacing w:after="0"/>
              <w:rPr>
                <w:sz w:val="24"/>
                <w:szCs w:val="24"/>
                <w:color w:val="auto"/>
              </w:rPr>
            </w:pPr>
          </w:p>
        </w:tc>
      </w:tr>
      <w:tr>
        <w:trPr>
          <w:trHeight w:val="30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99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Power of attorney (included on the signature pages of this registration statement)</w:t>
            </w:r>
          </w:p>
        </w:tc>
      </w:tr>
      <w:tr>
        <w:trPr>
          <w:trHeight w:val="20"/>
        </w:trPr>
        <w:tc>
          <w:tcPr>
            <w:tcW w:w="980" w:type="dxa"/>
            <w:vAlign w:val="bottom"/>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3460" w:type="dxa"/>
            <w:vAlign w:val="bottom"/>
            <w:gridSpan w:val="4"/>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2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0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7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8"/>
              </w:rPr>
            </w:pPr>
            <w:hyperlink r:id="rId32">
              <w:r>
                <w:rPr>
                  <w:rFonts w:ascii="Times New Roman" w:cs="Times New Roman" w:eastAsia="Times New Roman" w:hAnsi="Times New Roman"/>
                  <w:sz w:val="18"/>
                  <w:szCs w:val="18"/>
                  <w:color w:val="0000EE"/>
                  <w:w w:val="98"/>
                </w:rPr>
                <w:t>Cue Biopharma, Inc. 2026 Stock Incentive Plan (incorporated by reference to Appendix A to the Registrant’s definitive proxy statement</w:t>
              </w:r>
            </w:hyperlink>
          </w:p>
        </w:tc>
        <w:tc>
          <w:tcPr>
            <w:tcW w:w="220" w:type="dxa"/>
            <w:vAlign w:val="bottom"/>
          </w:tcPr>
          <w:p>
            <w:pPr>
              <w:spacing w:after="0"/>
              <w:rPr>
                <w:sz w:val="24"/>
                <w:szCs w:val="24"/>
                <w:color w:val="auto"/>
              </w:rPr>
            </w:pPr>
          </w:p>
        </w:tc>
      </w:tr>
      <w:tr>
        <w:trPr>
          <w:trHeight w:val="194"/>
        </w:trPr>
        <w:tc>
          <w:tcPr>
            <w:tcW w:w="980" w:type="dxa"/>
            <w:vAlign w:val="bottom"/>
          </w:tcPr>
          <w:p>
            <w:pPr>
              <w:spacing w:after="0"/>
              <w:rPr>
                <w:sz w:val="16"/>
                <w:szCs w:val="16"/>
                <w:color w:val="auto"/>
              </w:rPr>
            </w:pPr>
          </w:p>
        </w:tc>
        <w:tc>
          <w:tcPr>
            <w:tcW w:w="6580" w:type="dxa"/>
            <w:vAlign w:val="bottom"/>
            <w:tcBorders>
              <w:bottom w:val="single" w:sz="8" w:color="0000EE"/>
            </w:tcBorders>
            <w:gridSpan w:val="8"/>
          </w:tcPr>
          <w:p>
            <w:pPr>
              <w:spacing w:after="0" w:line="194" w:lineRule="exact"/>
              <w:rPr>
                <w:rFonts w:ascii="Times New Roman" w:cs="Times New Roman" w:eastAsia="Times New Roman" w:hAnsi="Times New Roman"/>
                <w:sz w:val="18"/>
                <w:szCs w:val="18"/>
                <w:color w:val="0000EE"/>
                <w:w w:val="98"/>
              </w:rPr>
            </w:pPr>
            <w:hyperlink r:id="rId32">
              <w:r>
                <w:rPr>
                  <w:rFonts w:ascii="Times New Roman" w:cs="Times New Roman" w:eastAsia="Times New Roman" w:hAnsi="Times New Roman"/>
                  <w:sz w:val="18"/>
                  <w:szCs w:val="18"/>
                  <w:color w:val="0000EE"/>
                  <w:w w:val="98"/>
                </w:rPr>
                <w:t>(File No. 001-38327) filed with the Securities and Exchange Commission on May 21, 2026)</w:t>
              </w:r>
            </w:hyperlink>
          </w:p>
        </w:tc>
        <w:tc>
          <w:tcPr>
            <w:tcW w:w="3340" w:type="dxa"/>
            <w:vAlign w:val="bottom"/>
            <w:gridSpan w:val="8"/>
          </w:tcPr>
          <w:p>
            <w:pPr>
              <w:spacing w:after="0"/>
              <w:rPr>
                <w:sz w:val="16"/>
                <w:szCs w:val="16"/>
                <w:color w:val="auto"/>
              </w:rPr>
            </w:pPr>
          </w:p>
        </w:tc>
      </w:tr>
      <w:tr>
        <w:trPr>
          <w:trHeight w:val="30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23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Calculation of Filing Fee Tables</w:t>
            </w:r>
          </w:p>
        </w:tc>
        <w:tc>
          <w:tcPr>
            <w:tcW w:w="7620" w:type="dxa"/>
            <w:vAlign w:val="bottom"/>
            <w:gridSpan w:val="13"/>
          </w:tcPr>
          <w:p>
            <w:pPr>
              <w:spacing w:after="0"/>
              <w:rPr>
                <w:sz w:val="24"/>
                <w:szCs w:val="24"/>
                <w:color w:val="auto"/>
              </w:rPr>
            </w:pPr>
          </w:p>
        </w:tc>
      </w:tr>
    </w:tbl>
    <w:p>
      <w:pPr>
        <w:spacing w:after="0" w:line="249" w:lineRule="exact"/>
        <w:rPr>
          <w:sz w:val="20"/>
          <w:szCs w:val="20"/>
          <w:color w:val="auto"/>
        </w:rPr>
      </w:pPr>
    </w:p>
    <w:p>
      <w:pPr>
        <w:ind w:left="426" w:hanging="426"/>
        <w:spacing w:after="0"/>
        <w:tabs>
          <w:tab w:leader="none" w:pos="42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ectPr>
          <w:pgSz w:w="11900" w:h="16838" w:orient="portrait"/>
          <w:cols w:equalWidth="0" w:num="1">
            <w:col w:w="10906"/>
          </w:cols>
          <w:pgMar w:left="494" w:top="268" w:right="499" w:bottom="1440" w:gutter="0" w:footer="0" w:header="0"/>
        </w:sectPr>
      </w:pPr>
    </w:p>
    <w:bookmarkStart w:id="4" w:name="page5"/>
    <w:bookmarkEnd w:id="4"/>
    <w:p>
      <w:pPr>
        <w:ind w:left="42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Item 9. Undertakings.</w:t>
      </w:r>
    </w:p>
    <w:p>
      <w:pPr>
        <w:spacing w:after="0" w:line="1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1. The undersigned registrant hereby undertakes:</w:t>
      </w:r>
    </w:p>
    <w:p>
      <w:pPr>
        <w:spacing w:after="0" w:line="11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a. To file, during any period in which offers or sales are being made, a post-effective amendment to this registration statement:</w:t>
      </w:r>
    </w:p>
    <w:p>
      <w:pPr>
        <w:spacing w:after="0" w:line="11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i. To include any prospectus required by Section 10(a)(3) of the Securities Act;</w:t>
      </w:r>
    </w:p>
    <w:p>
      <w:pPr>
        <w:spacing w:after="0" w:line="114" w:lineRule="exact"/>
        <w:rPr>
          <w:sz w:val="20"/>
          <w:szCs w:val="20"/>
          <w:color w:val="auto"/>
        </w:rPr>
      </w:pPr>
    </w:p>
    <w:p>
      <w:pPr>
        <w:ind w:left="6" w:right="40" w:hanging="6"/>
        <w:spacing w:after="0" w:line="253" w:lineRule="auto"/>
        <w:tabs>
          <w:tab w:leader="none" w:pos="19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Filing Fee Tables” in the effective registration statement; and</w:t>
      </w:r>
    </w:p>
    <w:p>
      <w:pPr>
        <w:spacing w:after="0" w:line="80" w:lineRule="exact"/>
        <w:rPr>
          <w:rFonts w:ascii="Times New Roman" w:cs="Times New Roman" w:eastAsia="Times New Roman" w:hAnsi="Times New Roman"/>
          <w:sz w:val="18"/>
          <w:szCs w:val="18"/>
          <w:color w:val="auto"/>
        </w:rPr>
      </w:pPr>
    </w:p>
    <w:p>
      <w:pPr>
        <w:ind w:left="6" w:right="360" w:hanging="6"/>
        <w:spacing w:after="0" w:line="277" w:lineRule="auto"/>
        <w:tabs>
          <w:tab w:leader="none" w:pos="2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5" w:lineRule="exact"/>
        <w:rPr>
          <w:sz w:val="20"/>
          <w:szCs w:val="20"/>
          <w:color w:val="auto"/>
        </w:rPr>
      </w:pPr>
    </w:p>
    <w:p>
      <w:pPr>
        <w:ind w:left="6"/>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paragraphs (i) and (ii) do not apply if the information required to be included in a post-effective amendment by those paragraphs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contained in reports filed with or furnished to the Commission by the registrant pursuant to Section 13 or Section 15(d) of the Exchange Act that are incorporated by reference in the registration statement.</w:t>
      </w:r>
    </w:p>
    <w:p>
      <w:pPr>
        <w:spacing w:after="0" w:line="70" w:lineRule="exact"/>
        <w:rPr>
          <w:sz w:val="20"/>
          <w:szCs w:val="20"/>
          <w:color w:val="auto"/>
        </w:rPr>
      </w:pPr>
    </w:p>
    <w:p>
      <w:pPr>
        <w:ind w:left="6" w:right="100"/>
        <w:spacing w:after="0" w:line="262" w:lineRule="auto"/>
        <w:rPr>
          <w:sz w:val="20"/>
          <w:szCs w:val="20"/>
          <w:color w:val="auto"/>
        </w:rPr>
      </w:pPr>
      <w:r>
        <w:rPr>
          <w:rFonts w:ascii="Times New Roman" w:cs="Times New Roman" w:eastAsia="Times New Roman" w:hAnsi="Times New Roman"/>
          <w:sz w:val="18"/>
          <w:szCs w:val="18"/>
          <w:color w:val="auto"/>
        </w:rPr>
        <w:t xml:space="preserve">b.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70" w:lineRule="exact"/>
        <w:rPr>
          <w:sz w:val="20"/>
          <w:szCs w:val="20"/>
          <w:color w:val="auto"/>
        </w:rPr>
      </w:pPr>
    </w:p>
    <w:p>
      <w:pPr>
        <w:ind w:left="6" w:right="40"/>
        <w:spacing w:after="0" w:line="277" w:lineRule="auto"/>
        <w:rPr>
          <w:sz w:val="20"/>
          <w:szCs w:val="20"/>
          <w:color w:val="auto"/>
        </w:rPr>
      </w:pPr>
      <w:r>
        <w:rPr>
          <w:rFonts w:ascii="Times New Roman" w:cs="Times New Roman" w:eastAsia="Times New Roman" w:hAnsi="Times New Roman"/>
          <w:sz w:val="18"/>
          <w:szCs w:val="18"/>
          <w:color w:val="auto"/>
        </w:rPr>
        <w:t>c. To remove from registration by means of a post-effective amendment any of the securities being registered which remain unsold at the termination of the offering.</w:t>
      </w:r>
    </w:p>
    <w:p>
      <w:pPr>
        <w:spacing w:after="0" w:line="57" w:lineRule="exact"/>
        <w:rPr>
          <w:sz w:val="20"/>
          <w:szCs w:val="20"/>
          <w:color w:val="auto"/>
        </w:rPr>
      </w:pPr>
    </w:p>
    <w:p>
      <w:pPr>
        <w:ind w:left="6" w:right="100" w:hanging="6"/>
        <w:spacing w:after="0" w:line="255" w:lineRule="auto"/>
        <w:tabs>
          <w:tab w:leader="none" w:pos="1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75" w:lineRule="exact"/>
        <w:rPr>
          <w:rFonts w:ascii="Times New Roman" w:cs="Times New Roman" w:eastAsia="Times New Roman" w:hAnsi="Times New Roman"/>
          <w:sz w:val="18"/>
          <w:szCs w:val="18"/>
          <w:color w:val="auto"/>
        </w:rPr>
      </w:pPr>
    </w:p>
    <w:p>
      <w:pPr>
        <w:ind w:left="6" w:right="20" w:hanging="6"/>
        <w:spacing w:after="0" w:line="252" w:lineRule="auto"/>
        <w:tabs>
          <w:tab w:leader="none" w:pos="1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846"/>
          </w:cols>
          <w:pgMar w:left="494" w:top="264" w:right="559" w:bottom="1440" w:gutter="0" w:footer="0" w:header="0"/>
        </w:sectPr>
      </w:pPr>
    </w:p>
    <w:bookmarkStart w:id="5" w:name="page6"/>
    <w:bookmarkEnd w:id="5"/>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SIGNATURES</w:t>
      </w:r>
    </w:p>
    <w:p>
      <w:pPr>
        <w:spacing w:after="0" w:line="224" w:lineRule="exact"/>
        <w:rPr>
          <w:sz w:val="20"/>
          <w:szCs w:val="20"/>
          <w:color w:val="auto"/>
        </w:rPr>
      </w:pPr>
    </w:p>
    <w:p>
      <w:pPr>
        <w:ind w:firstLine="436"/>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Boston, Commonwealth of Massachusetts, on this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day of June, 2026.</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CUE BIOPHARMA, INC.</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Shao-Lee Lin,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15875</wp:posOffset>
            </wp:positionV>
            <wp:extent cx="25361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extLst>
                    </a:blip>
                    <a:srcRect/>
                    <a:stretch>
                      <a:fillRect/>
                    </a:stretch>
                  </pic:blipFill>
                  <pic:spPr bwMode="auto">
                    <a:xfrm>
                      <a:off x="0" y="0"/>
                      <a:ext cx="2536190" cy="8255"/>
                    </a:xfrm>
                    <a:prstGeom prst="rect">
                      <a:avLst/>
                    </a:prstGeom>
                    <a:noFill/>
                  </pic:spPr>
                </pic:pic>
              </a:graphicData>
            </a:graphic>
          </wp:anchor>
        </w:drawing>
      </w:r>
    </w:p>
    <w:p>
      <w:pPr>
        <w:spacing w:after="0" w:line="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Shao-Lee Lin, M.D., Ph.D.</w:t>
      </w:r>
    </w:p>
    <w:p>
      <w:pPr>
        <w:spacing w:after="0" w:line="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0760"/>
          </w:cols>
          <w:pgMar w:left="500" w:top="264" w:right="639" w:bottom="1440" w:gutter="0" w:footer="0" w:header="0"/>
        </w:sectPr>
      </w:pPr>
    </w:p>
    <w:bookmarkStart w:id="6" w:name="page7"/>
    <w:bookmarkEnd w:id="6"/>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POWER OF ATTORNEY AND SIGNATURES</w:t>
      </w:r>
    </w:p>
    <w:p>
      <w:pPr>
        <w:spacing w:after="0" w:line="224" w:lineRule="exact"/>
        <w:rPr>
          <w:sz w:val="20"/>
          <w:szCs w:val="20"/>
          <w:color w:val="auto"/>
        </w:rPr>
      </w:pPr>
    </w:p>
    <w:p>
      <w:pPr>
        <w:ind w:firstLine="436"/>
        <w:spacing w:after="0" w:line="252" w:lineRule="auto"/>
        <w:rPr>
          <w:sz w:val="20"/>
          <w:szCs w:val="20"/>
          <w:color w:val="auto"/>
        </w:rPr>
      </w:pPr>
      <w:r>
        <w:rPr>
          <w:rFonts w:ascii="Times New Roman" w:cs="Times New Roman" w:eastAsia="Times New Roman" w:hAnsi="Times New Roman"/>
          <w:sz w:val="18"/>
          <w:szCs w:val="18"/>
          <w:color w:val="auto"/>
        </w:rPr>
        <w:t>We, the undersigned officers and directors of Cue Biopharma, Inc., hereby severally constitute and appoint Shao-Lee Lin and Sumita Ray, and each of them singly, our true and lawful attorneys with full power to them, and each of them singly, to sign for us and in our names in the capacities indicated below, the registration statement on Form S-8 filed herewith and any and all subsequent amendments to said registration statement, and generally to do all such things in our names and on our behalf in our capacities as officers and directors to enable Cue Biopharma,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189" w:lineRule="exact"/>
        <w:rPr>
          <w:sz w:val="20"/>
          <w:szCs w:val="20"/>
          <w:color w:val="auto"/>
        </w:rPr>
      </w:pPr>
    </w:p>
    <w:p>
      <w:pPr>
        <w:ind w:right="40" w:firstLine="436"/>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0700"/>
          </w:cols>
          <w:pgMar w:left="500" w:top="264" w:right="699" w:bottom="1440" w:gutter="0" w:footer="0" w:header="0"/>
        </w:sectPr>
      </w:pP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0" w:type="dxa"/>
            <w:vAlign w:val="bottom"/>
            <w:tcBorders>
              <w:bottom w:val="single" w:sz="8" w:color="auto"/>
            </w:tcBorders>
          </w:tcPr>
          <w:p>
            <w:pPr>
              <w:spacing w:after="0"/>
              <w:rPr>
                <w:sz w:val="16"/>
                <w:szCs w:val="16"/>
                <w:color w:val="auto"/>
              </w:rPr>
            </w:pPr>
          </w:p>
        </w:tc>
        <w:tc>
          <w:tcPr>
            <w:tcW w:w="396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0" w:type="dxa"/>
            <w:vAlign w:val="bottom"/>
          </w:tcPr>
          <w:p>
            <w:pPr>
              <w:spacing w:after="0"/>
              <w:rPr>
                <w:sz w:val="1"/>
                <w:szCs w:val="1"/>
                <w:color w:val="auto"/>
              </w:rPr>
            </w:pPr>
          </w:p>
        </w:tc>
      </w:tr>
      <w:tr>
        <w:trPr>
          <w:trHeight w:val="407"/>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Shao-Lee Lin, M.D., Ph.D.</w:t>
            </w:r>
          </w:p>
        </w:tc>
        <w:tc>
          <w:tcPr>
            <w:tcW w:w="12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President, Chief Executive Officer and Director</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and financial officer)</w:t>
            </w:r>
          </w:p>
        </w:tc>
        <w:tc>
          <w:tcPr>
            <w:tcW w:w="0" w:type="dxa"/>
            <w:vAlign w:val="bottom"/>
          </w:tcPr>
          <w:p>
            <w:pPr>
              <w:spacing w:after="0" w:line="20" w:lineRule="exact"/>
              <w:rPr>
                <w:sz w:val="1"/>
                <w:szCs w:val="1"/>
                <w:color w:val="auto"/>
              </w:rPr>
            </w:pPr>
          </w:p>
        </w:tc>
      </w:tr>
      <w:tr>
        <w:trPr>
          <w:trHeight w:val="22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Shao-Lee Lin, M.D., Ph.D.</w:t>
            </w:r>
          </w:p>
        </w:tc>
        <w:tc>
          <w:tcPr>
            <w:tcW w:w="120" w:type="dxa"/>
            <w:vAlign w:val="bottom"/>
          </w:tcPr>
          <w:p>
            <w:pPr>
              <w:spacing w:after="0"/>
              <w:rPr>
                <w:sz w:val="19"/>
                <w:szCs w:val="19"/>
                <w:color w:val="auto"/>
              </w:rPr>
            </w:pPr>
          </w:p>
        </w:tc>
        <w:tc>
          <w:tcPr>
            <w:tcW w:w="4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22"/>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Michael Meluzio</w:t>
            </w:r>
          </w:p>
        </w:tc>
        <w:tc>
          <w:tcPr>
            <w:tcW w:w="12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Vice President, Principal Accounting Officer</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0" w:type="dxa"/>
            <w:vAlign w:val="bottom"/>
          </w:tcPr>
          <w:p>
            <w:pPr>
              <w:spacing w:after="0" w:line="20" w:lineRule="exact"/>
              <w:rPr>
                <w:sz w:val="1"/>
                <w:szCs w:val="1"/>
                <w:color w:val="auto"/>
              </w:rPr>
            </w:pPr>
          </w:p>
        </w:tc>
      </w:tr>
      <w:tr>
        <w:trPr>
          <w:trHeight w:val="22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Meluzio</w:t>
            </w:r>
          </w:p>
        </w:tc>
        <w:tc>
          <w:tcPr>
            <w:tcW w:w="120" w:type="dxa"/>
            <w:vAlign w:val="bottom"/>
          </w:tcPr>
          <w:p>
            <w:pPr>
              <w:spacing w:after="0"/>
              <w:rPr>
                <w:sz w:val="19"/>
                <w:szCs w:val="19"/>
                <w:color w:val="auto"/>
              </w:rPr>
            </w:pPr>
          </w:p>
        </w:tc>
        <w:tc>
          <w:tcPr>
            <w:tcW w:w="4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22"/>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Daniel Camardo</w:t>
            </w:r>
          </w:p>
        </w:tc>
        <w:tc>
          <w:tcPr>
            <w:tcW w:w="12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Camardo</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2"/>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Pamela Garzone</w:t>
            </w:r>
          </w:p>
        </w:tc>
        <w:tc>
          <w:tcPr>
            <w:tcW w:w="12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Pamela Garzone</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2"/>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Viola Meehan</w:t>
            </w:r>
          </w:p>
        </w:tc>
        <w:tc>
          <w:tcPr>
            <w:tcW w:w="12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Viola Meehan</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2"/>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Pasha Sarraf</w:t>
            </w:r>
          </w:p>
        </w:tc>
        <w:tc>
          <w:tcPr>
            <w:tcW w:w="12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Pasha Sarraf</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15240</wp:posOffset>
            </wp:positionV>
            <wp:extent cx="11029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3, 2026</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3, 2026</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3, 2026</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3, 2026</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3, 2026</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3, 2026</w:t>
      </w:r>
    </w:p>
    <w:p>
      <w:pPr>
        <w:sectPr>
          <w:pgSz w:w="11900" w:h="16838" w:orient="portrait"/>
          <w:cols w:equalWidth="0" w:num="2">
            <w:col w:w="9060" w:space="520"/>
            <w:col w:w="1120"/>
          </w:cols>
          <w:pgMar w:left="500" w:top="264" w:right="699" w:bottom="1440" w:gutter="0" w:footer="0" w:header="0"/>
          <w:type w:val="continuous"/>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171450</wp:posOffset>
            </wp:positionV>
            <wp:extent cx="1255395" cy="4578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extLst>
                    </a:blip>
                    <a:srcRect/>
                    <a:stretch>
                      <a:fillRect/>
                    </a:stretch>
                  </pic:blipFill>
                  <pic:spPr bwMode="auto">
                    <a:xfrm>
                      <a:off x="0" y="0"/>
                      <a:ext cx="1255395" cy="457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Courtney M.W. Tygesson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+1 312 881 6680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ctygesson@cooley.com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Cue Biopharma,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 Guest Street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02135</w:t>
      </w:r>
    </w:p>
    <w:p>
      <w:pPr>
        <w:spacing w:after="0" w:line="22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Cue Biopharma, Inc. – Registration Statement on Form S-8</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0"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We have acted as counsel to Cue Biopharma,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filing of a registration statement on Form S-8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covering the offering of 2,327,826 shares of the Company’s common stock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par value $0.001 per share,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issuable pursuant to the Company’s 2026 Stock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(a) the Registration Statement and the related prospectus, (b) the Company’s certificate of incorporation and bylaws, each as currently in effect, (c) the Plan and (d) originals or copies certified to our satisfaction of such other records, documents, opinions, certificates, memoranda and instruments as we have determined to be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w:t>
      </w:r>
    </w:p>
    <w:p>
      <w:pPr>
        <w:spacing w:after="0" w:line="18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77"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On the basis of the foregoing, and in reliance thereon, we are of the opinion that the Shares, when sold and issued in accordance with the Plan, the Registration Statement and the related prospectus, will be validly issued, fully paid, and nonassessable (except as to shares issued pursuant to deferred payment arrangements, which will be fully paid and nonassessable when such deferred payments are made in full).</w:t>
      </w:r>
    </w:p>
    <w:p>
      <w:pPr>
        <w:spacing w:after="0" w:line="17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This opinion is limited to the matters expressly set forth in this letter, and no opinion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spacing w:after="0" w:line="18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spacing w:after="0" w:line="177" w:lineRule="exact"/>
        <w:rPr>
          <w:sz w:val="20"/>
          <w:szCs w:val="20"/>
          <w:color w:val="auto"/>
        </w:rPr>
      </w:pPr>
    </w:p>
    <w:p>
      <w:pPr>
        <w:jc w:val="center"/>
        <w:spacing w:after="0"/>
        <w:tabs>
          <w:tab w:leader="none" w:pos="100" w:val="left"/>
          <w:tab w:leader="none" w:pos="120" w:val="left"/>
        </w:tabs>
        <w:rPr>
          <w:sz w:val="20"/>
          <w:szCs w:val="20"/>
          <w:color w:val="auto"/>
        </w:rPr>
      </w:pPr>
      <w:r>
        <w:rPr>
          <w:rFonts w:ascii="Times New Roman" w:cs="Times New Roman" w:eastAsia="Times New Roman" w:hAnsi="Times New Roman"/>
          <w:sz w:val="18"/>
          <w:szCs w:val="18"/>
          <w:color w:val="auto"/>
        </w:rPr>
        <w:t>Cooley LLP </w:t>
        <w:tab/>
        <w:t>110 North Wacker, Suite 4200 </w:t>
      </w:r>
      <w:r>
        <w:rPr>
          <w:sz w:val="20"/>
          <w:szCs w:val="20"/>
          <w:color w:val="auto"/>
        </w:rPr>
        <w:tab/>
      </w:r>
      <w:r>
        <w:rPr>
          <w:rFonts w:ascii="Times New Roman" w:cs="Times New Roman" w:eastAsia="Times New Roman" w:hAnsi="Times New Roman"/>
          <w:sz w:val="17"/>
          <w:szCs w:val="17"/>
          <w:color w:val="auto"/>
        </w:rPr>
        <w:t>Chicago, Illinois 60606</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 (312) 881-6500 f: (312) 881-6598 cooley.com</w:t>
      </w:r>
    </w:p>
    <w:p>
      <w:pPr>
        <w:sectPr>
          <w:pgSz w:w="11900" w:h="16838" w:orient="portrait"/>
          <w:cols w:equalWidth="0" w:num="1">
            <w:col w:w="10900"/>
          </w:cols>
          <w:pgMar w:left="500" w:top="117"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318135</wp:posOffset>
            </wp:positionH>
            <wp:positionV relativeFrom="page">
              <wp:posOffset>182245</wp:posOffset>
            </wp:positionV>
            <wp:extent cx="1255395" cy="4578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255395" cy="457835"/>
                    </a:xfrm>
                    <a:prstGeom prst="rect">
                      <a:avLst/>
                    </a:prstGeom>
                    <a:noFill/>
                  </pic:spPr>
                </pic:pic>
              </a:graphicData>
            </a:graphic>
          </wp:anchor>
        </w:drawing>
        <w:t>Cue Biopharma,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 2026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Two</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OOLEY</w:t>
      </w:r>
      <w:r>
        <w:rPr>
          <w:rFonts w:ascii="Times New Roman" w:cs="Times New Roman" w:eastAsia="Times New Roman" w:hAnsi="Times New Roman"/>
          <w:sz w:val="18"/>
          <w:szCs w:val="18"/>
          <w:b w:val="1"/>
          <w:bCs w:val="1"/>
          <w:color w:val="auto"/>
        </w:rPr>
        <w:t xml:space="preserve"> LLP</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Courtney M.W. Tygesson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15875</wp:posOffset>
            </wp:positionV>
            <wp:extent cx="25361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1">
                      <a:extLst>
                        <a:ext uri="{28A0092B-C50C-407E-A947-70E740481C1C}"/>
                      </a:extLst>
                    </a:blip>
                    <a:srcRect/>
                    <a:stretch>
                      <a:fillRect/>
                    </a:stretch>
                  </pic:blipFill>
                  <pic:spPr bwMode="auto">
                    <a:xfrm>
                      <a:off x="0" y="0"/>
                      <a:ext cx="2536190" cy="8255"/>
                    </a:xfrm>
                    <a:prstGeom prst="rect">
                      <a:avLst/>
                    </a:prstGeom>
                    <a:noFill/>
                  </pic:spPr>
                </pic:pic>
              </a:graphicData>
            </a:graphic>
          </wp:anchor>
        </w:drawing>
      </w:r>
    </w:p>
    <w:p>
      <w:pPr>
        <w:spacing w:after="0" w:line="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Courtney M.W. Tygesson</w:t>
      </w:r>
    </w:p>
    <w:p>
      <w:pPr>
        <w:spacing w:after="0" w:line="220" w:lineRule="exact"/>
        <w:rPr>
          <w:sz w:val="20"/>
          <w:szCs w:val="20"/>
          <w:color w:val="auto"/>
        </w:rPr>
      </w:pPr>
    </w:p>
    <w:p>
      <w:pPr>
        <w:jc w:val="center"/>
        <w:ind w:right="-940"/>
        <w:spacing w:after="0"/>
        <w:tabs>
          <w:tab w:leader="none" w:pos="100" w:val="left"/>
          <w:tab w:leader="none" w:pos="120" w:val="left"/>
        </w:tabs>
        <w:rPr>
          <w:sz w:val="20"/>
          <w:szCs w:val="20"/>
          <w:color w:val="auto"/>
        </w:rPr>
      </w:pPr>
      <w:r>
        <w:rPr>
          <w:rFonts w:ascii="Times New Roman" w:cs="Times New Roman" w:eastAsia="Times New Roman" w:hAnsi="Times New Roman"/>
          <w:sz w:val="18"/>
          <w:szCs w:val="18"/>
          <w:color w:val="auto"/>
        </w:rPr>
        <w:t>Cooley LLP </w:t>
        <w:tab/>
        <w:t>110 North Wacker, Suite 4200 </w:t>
      </w:r>
      <w:r>
        <w:rPr>
          <w:sz w:val="20"/>
          <w:szCs w:val="20"/>
          <w:color w:val="auto"/>
        </w:rPr>
        <w:tab/>
      </w:r>
      <w:r>
        <w:rPr>
          <w:rFonts w:ascii="Times New Roman" w:cs="Times New Roman" w:eastAsia="Times New Roman" w:hAnsi="Times New Roman"/>
          <w:sz w:val="17"/>
          <w:szCs w:val="17"/>
          <w:color w:val="auto"/>
        </w:rPr>
        <w:t>Chicago, Illinois 60606</w:t>
      </w:r>
    </w:p>
    <w:p>
      <w:pPr>
        <w:spacing w:after="0" w:line="26"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t: (312) 881-6500 f: (312) 881-6598 cooley.com</w:t>
      </w:r>
    </w:p>
    <w:p>
      <w:pPr>
        <w:sectPr>
          <w:pgSz w:w="11900" w:h="16838" w:orient="portrait"/>
          <w:cols w:equalWidth="0" w:num="1">
            <w:col w:w="9959"/>
          </w:cols>
          <w:pgMar w:left="500" w:top="1096" w:right="1440"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4"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Cue Biopharma, Inc. of our report dated March 16, 2026 relating to the consolidated financial statements of Cue Biopharma, Inc. and subsidiary, appearing in the Annual Report on Form 10-K of Cue Biopharma, Inc. for the year ended December 31,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 2026</w:t>
      </w:r>
    </w:p>
    <w:p>
      <w:pPr>
        <w:sectPr>
          <w:pgSz w:w="11900" w:h="16838" w:orient="portrait"/>
          <w:cols w:equalWidth="0" w:num="1">
            <w:col w:w="10900"/>
          </w:cols>
          <w:pgMar w:left="500" w:top="117" w:right="499" w:bottom="1440" w:gutter="0" w:footer="0" w:header="0"/>
        </w:sectPr>
      </w:pPr>
    </w:p>
    <w:bookmarkStart w:id="10" w:name="page11"/>
    <w:bookmarkEnd w:id="10"/>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ind w:left="3780"/>
        <w:spacing w:after="0"/>
        <w:rPr>
          <w:sz w:val="20"/>
          <w:szCs w:val="20"/>
          <w:color w:val="auto"/>
        </w:rPr>
      </w:pPr>
      <w:r>
        <w:rPr>
          <w:rFonts w:ascii="Arial" w:cs="Arial" w:eastAsia="Arial" w:hAnsi="Arial"/>
          <w:sz w:val="36"/>
          <w:szCs w:val="36"/>
          <w:b w:val="1"/>
          <w:bCs w:val="1"/>
          <w:color w:val="auto"/>
        </w:rPr>
        <w:t>Cue Biopharma,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4"/>
                <w:szCs w:val="24"/>
                <w:color w:val="auto"/>
              </w:rPr>
            </w:pPr>
          </w:p>
        </w:tc>
        <w:tc>
          <w:tcPr>
            <w:tcW w:w="1140" w:type="dxa"/>
            <w:vAlign w:val="bottom"/>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5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Class</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20"/>
                <w:szCs w:val="20"/>
                <w:color w:val="auto"/>
              </w:rPr>
            </w:pPr>
          </w:p>
        </w:tc>
        <w:tc>
          <w:tcPr>
            <w:tcW w:w="114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0"/>
                <w:szCs w:val="20"/>
                <w:color w:val="auto"/>
              </w:rPr>
            </w:pPr>
          </w:p>
        </w:tc>
        <w:tc>
          <w:tcPr>
            <w:tcW w:w="13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4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52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4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4"/>
                <w:szCs w:val="24"/>
                <w:color w:val="auto"/>
              </w:rPr>
            </w:pPr>
          </w:p>
        </w:tc>
        <w:tc>
          <w:tcPr>
            <w:tcW w:w="15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Common</w:t>
            </w:r>
          </w:p>
        </w:tc>
        <w:tc>
          <w:tcPr>
            <w:tcW w:w="4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Stock,</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$0.001</w:t>
            </w:r>
          </w:p>
        </w:tc>
        <w:tc>
          <w:tcPr>
            <w:tcW w:w="40" w:type="dxa"/>
            <w:vAlign w:val="bottom"/>
          </w:tcPr>
          <w:p>
            <w:pPr>
              <w:spacing w:after="0"/>
              <w:rPr>
                <w:sz w:val="10"/>
                <w:szCs w:val="1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10"/>
                <w:szCs w:val="1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2,327,826</w:t>
            </w:r>
          </w:p>
        </w:tc>
        <w:tc>
          <w:tcPr>
            <w:tcW w:w="20" w:type="dxa"/>
            <w:vAlign w:val="bottom"/>
          </w:tcPr>
          <w:p>
            <w:pPr>
              <w:spacing w:after="0"/>
              <w:rPr>
                <w:sz w:val="10"/>
                <w:szCs w:val="10"/>
                <w:color w:val="auto"/>
              </w:rPr>
            </w:pPr>
          </w:p>
        </w:tc>
        <w:tc>
          <w:tcPr>
            <w:tcW w:w="13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$ 20.49</w:t>
            </w:r>
          </w:p>
        </w:tc>
        <w:tc>
          <w:tcPr>
            <w:tcW w:w="20" w:type="dxa"/>
            <w:vAlign w:val="bottom"/>
          </w:tcPr>
          <w:p>
            <w:pPr>
              <w:spacing w:after="0"/>
              <w:rPr>
                <w:sz w:val="10"/>
                <w:szCs w:val="10"/>
                <w:color w:val="auto"/>
              </w:rPr>
            </w:pPr>
          </w:p>
        </w:tc>
        <w:tc>
          <w:tcPr>
            <w:tcW w:w="152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0"/>
                <w:szCs w:val="10"/>
                <w:color w:val="auto"/>
              </w:rPr>
            </w:pPr>
          </w:p>
        </w:tc>
        <w:tc>
          <w:tcPr>
            <w:tcW w:w="15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$ 6,586.98</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47,697,154.74</w:t>
            </w:r>
          </w:p>
        </w:tc>
        <w:tc>
          <w:tcPr>
            <w:tcW w:w="40" w:type="dxa"/>
            <w:vAlign w:val="bottom"/>
          </w:tcPr>
          <w:p>
            <w:pPr>
              <w:spacing w:after="0"/>
              <w:rPr>
                <w:sz w:val="18"/>
                <w:szCs w:val="18"/>
                <w:color w:val="auto"/>
              </w:rPr>
            </w:pPr>
          </w:p>
        </w:tc>
        <w:tc>
          <w:tcPr>
            <w:tcW w:w="10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ind w:left="20"/>
              <w:spacing w:after="0" w:line="147" w:lineRule="exact"/>
              <w:rPr>
                <w:sz w:val="20"/>
                <w:szCs w:val="20"/>
                <w:color w:val="auto"/>
              </w:rPr>
            </w:pPr>
            <w:r>
              <w:rPr>
                <w:rFonts w:ascii="Arial" w:cs="Arial" w:eastAsia="Arial" w:hAnsi="Arial"/>
                <w:sz w:val="17"/>
                <w:szCs w:val="17"/>
                <w:color w:val="auto"/>
              </w:rPr>
              <w:t>par value</w:t>
            </w:r>
          </w:p>
        </w:tc>
        <w:tc>
          <w:tcPr>
            <w:tcW w:w="4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per share</w:t>
            </w:r>
          </w:p>
        </w:tc>
        <w:tc>
          <w:tcPr>
            <w:tcW w:w="4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$ 6,586.98</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47,697,154.74</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$ 6,586.98</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48" w:lineRule="exact"/>
        <w:rPr>
          <w:sz w:val="20"/>
          <w:szCs w:val="20"/>
          <w:color w:val="auto"/>
        </w:rPr>
      </w:pPr>
    </w:p>
    <w:p>
      <w:pPr>
        <w:ind w:left="800" w:right="740" w:hanging="225"/>
        <w:spacing w:after="0"/>
        <w:tabs>
          <w:tab w:leader="none" w:pos="800" w:val="left"/>
        </w:tabs>
        <w:numPr>
          <w:ilvl w:val="0"/>
          <w:numId w:val="5"/>
        </w:numPr>
        <w:rPr>
          <w:rFonts w:ascii="Arial" w:cs="Arial" w:eastAsia="Arial" w:hAnsi="Arial"/>
          <w:sz w:val="27"/>
          <w:szCs w:val="27"/>
          <w:color w:val="auto"/>
          <w:vertAlign w:val="superscript"/>
        </w:rPr>
      </w:pPr>
      <w:r>
        <w:rPr>
          <w:rFonts w:ascii="Arial" w:cs="Arial" w:eastAsia="Arial" w:hAnsi="Arial"/>
          <w:sz w:val="21"/>
          <w:szCs w:val="21"/>
          <w:color w:val="auto"/>
        </w:rPr>
        <w:t>(1) In accordance with Rule 416 under the Securities Act of 1933, as amended, this registration statement shall be deemed to cover any additional securities that may from time to time be offered or issued to prevent dilution resulting from stock splits, stock dividends or similar transactions. (2) Consists of 2,327,826 shares of common stock issuable under the Cue Biopharma, Inc. 2026 Stock Incentive Plan. (3) Estimated solely for the purpose of calculating the registration fee pursuant to Rules 457(c) and 457(h) of the Securities Act of 1933, as amended, and based upon the average of the high and low prices of the Registrant's Common Stock as reported on the Nasdaq Capital Market on May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210185</wp:posOffset>
            </wp:positionV>
            <wp:extent cx="63874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2">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3">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Roman"/>
      <w:start w:val="2"/>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33" Type="http://schemas.openxmlformats.org/officeDocument/2006/relationships/image" Target="media/image12.png"/><Relationship Id="rId34" Type="http://schemas.openxmlformats.org/officeDocument/2006/relationships/image" Target="media/image13.png"/><Relationship Id="rId35" Type="http://schemas.openxmlformats.org/officeDocument/2006/relationships/image" Target="media/image14.png"/><Relationship Id="rId36" Type="http://schemas.openxmlformats.org/officeDocument/2006/relationships/image" Target="media/image15.png"/><Relationship Id="rId37" Type="http://schemas.openxmlformats.org/officeDocument/2006/relationships/image" Target="media/image16.png"/><Relationship Id="rId38" Type="http://schemas.openxmlformats.org/officeDocument/2006/relationships/image" Target="media/image17.jpeg"/><Relationship Id="rId39" Type="http://schemas.openxmlformats.org/officeDocument/2006/relationships/image" Target="media/image18.png"/><Relationship Id="rId40" Type="http://schemas.openxmlformats.org/officeDocument/2006/relationships/image" Target="media/image19.jpeg"/><Relationship Id="rId41" Type="http://schemas.openxmlformats.org/officeDocument/2006/relationships/image" Target="media/image20.png"/><Relationship Id="rId42" Type="http://schemas.openxmlformats.org/officeDocument/2006/relationships/image" Target="media/image21.png"/><Relationship Id="rId43" Type="http://schemas.openxmlformats.org/officeDocument/2006/relationships/image" Target="media/image22.png"/><Relationship Id="rId17" Type="http://schemas.openxmlformats.org/officeDocument/2006/relationships/hyperlink" Target="http://www.sec.gov/ix?doc=/Archives/edgar/data/0001645460/000119312526108287/cue-20251231.htm" TargetMode="External"/><Relationship Id="rId18" Type="http://schemas.openxmlformats.org/officeDocument/2006/relationships/hyperlink" Target="http://www.sec.gov/ix?doc=/Archives/edgar/data/0001645460/000119312526108301/cue-20260316.htm" TargetMode="External"/><Relationship Id="rId19" Type="http://schemas.openxmlformats.org/officeDocument/2006/relationships/hyperlink" Target="http://www.sec.gov/ix?doc=/Archives/edgar/data/0001645460/000119312526224091/cue-20260331.htm" TargetMode="External"/><Relationship Id="rId20" Type="http://schemas.openxmlformats.org/officeDocument/2006/relationships/hyperlink" Target="http://www.sec.gov/ix?doc=/Archives/edgar/data/0001645460/000119312526144569/cue-20260401.htm" TargetMode="External"/><Relationship Id="rId21" Type="http://schemas.openxmlformats.org/officeDocument/2006/relationships/hyperlink" Target="http://www.sec.gov/ix?doc=/Archives/edgar/data/0001645460/000119312526152826/cue-20260413.htm" TargetMode="External"/><Relationship Id="rId22" Type="http://schemas.openxmlformats.org/officeDocument/2006/relationships/hyperlink" Target="http://www.sec.gov/ix?doc=/Archives/edgar/data/0001645460/000119312526168907/cue-20260422.htm" TargetMode="External"/><Relationship Id="rId23" Type="http://schemas.openxmlformats.org/officeDocument/2006/relationships/hyperlink" Target="http://www.sec.gov/ix?doc=/Archives/edgar/data/0001645460/000119312526198588/d128047d8k.htm" TargetMode="External"/><Relationship Id="rId24" Type="http://schemas.openxmlformats.org/officeDocument/2006/relationships/hyperlink" Target="http://www.sec.gov/ix?doc=/Archives/edgar/data/0001645460/000119312526253709/d139032d8k.htm" TargetMode="External"/><Relationship Id="rId25" Type="http://schemas.openxmlformats.org/officeDocument/2006/relationships/hyperlink" Target="http://www.sec.gov/Archives/edgar/data/1645460/000114420417063474/tv481277_8a12b.htm" TargetMode="External"/><Relationship Id="rId26" Type="http://schemas.openxmlformats.org/officeDocument/2006/relationships/hyperlink" Target="http://www.sec.gov/Archives/edgar/data/1645460/000119312526108287/cue-ex4_2.htm" TargetMode="External"/><Relationship Id="rId29" Type="http://schemas.openxmlformats.org/officeDocument/2006/relationships/hyperlink" Target="http://www.sec.gov/Archives/edgar/data/1645460/000095017025107270/cue-ex3_1.htm" TargetMode="External"/><Relationship Id="rId30" Type="http://schemas.openxmlformats.org/officeDocument/2006/relationships/hyperlink" Target="http://www.sec.gov/Archives/edgar/data/1645460/000119312526168907/cue-ex3_1.htm" TargetMode="External"/><Relationship Id="rId31" Type="http://schemas.openxmlformats.org/officeDocument/2006/relationships/hyperlink" Target="http://www.sec.gov/Archives/edgar/data/1645460/000157104917008632/t1703106_ex3-5.htm" TargetMode="External"/><Relationship Id="rId32" Type="http://schemas.openxmlformats.org/officeDocument/2006/relationships/hyperlink" Target="http://www.sec.gov/Archives/edgar/data/1645460/000119312526233369/d38874d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2026-06-03T15:14:24Z</dcterms:created>
  <dcterms:modified xsi:type="dcterms:W3CDTF">2026-06-03T15:14:24Z</dcterms:modified>
</cp:coreProperties>
</file>