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955d8k.htm"/>
      <w:bookmarkStart w:id="1" w:name="ksd12395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Cue Biopharma,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15" w:type="dxa"/>
        <w:jc w:val="left"/>
        <w:tblInd w:w="0" w:type="dxa"/>
        <w:tblLayout w:type="fixed"/>
        <w:tblCellMar>
          <w:top w:w="0" w:type="dxa"/>
          <w:left w:w="0" w:type="dxa"/>
          <w:bottom w:w="0" w:type="dxa"/>
          <w:right w:w="0" w:type="dxa"/>
        </w:tblCellMar>
      </w:tblPr>
      <w:tblGrid>
        <w:gridCol w:w="4070"/>
        <w:gridCol w:w="60"/>
        <w:gridCol w:w="1055"/>
        <w:gridCol w:w="60"/>
        <w:gridCol w:w="137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001-38327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47-3324577</w:t>
            </w:r>
          </w:p>
        </w:tc>
      </w:tr>
      <w:tr>
        <w:trPr/>
        <w:tc>
          <w:tcPr>
            <w:tcW w:w="4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40 Guest Street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Boston, 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02135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949-2680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145"/>
        <w:gridCol w:w="60"/>
        <w:gridCol w:w="740"/>
        <w:gridCol w:w="60"/>
        <w:gridCol w:w="228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CUE</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9, 2026, Cue Biopharma, Inc. (the “Company”) entered into a Securities Purchase Agreement (the “Purchase Agreement”) with accredited investors (the “Investors”), including Cormorant Asset Management and Columbia Threadneedle Investments, pursuant to which the Company, in a private placement, agreed to issue and sell to the Investors an aggregate of (i) 1,418,071 shares of the Company’s common stock, par value $0.001 per share (the “Common Stock”), at a price per share of $33.21 (the “Shares”) and (ii) to certain Investors, in lieu of shares of Common Stock, pre-funded warrants (the “Pre-Funded Warrants”) to purchase up to 87,500 shares of Common Stock (the “Warrant Shares” and together with the Shares, the “Securities”) at a price per Pre-Funded Warrant of $33.209 (the “Private Placement”), for gross proceeds of approximately $50.0 million. </w:t>
      </w:r>
    </w:p>
    <w:p>
      <w:pPr>
        <w:pStyle w:val="TextBody"/>
        <w:bidi w:val="0"/>
        <w:spacing w:before="240" w:after="0"/>
        <w:jc w:val="left"/>
        <w:rPr>
          <w:rFonts w:ascii="Times New Roman" w:hAnsi="Times New Roman"/>
          <w:sz w:val="20"/>
        </w:rPr>
      </w:pPr>
      <w:r>
        <w:rPr>
          <w:rFonts w:ascii="Times New Roman" w:hAnsi="Times New Roman"/>
          <w:sz w:val="20"/>
        </w:rPr>
        <w:t xml:space="preserve">Each Pre-Funded Warrant will have an exercise price of $0.001 per share and will be cashless exercisable. In certain circumstances, upon a fundamental transaction (as described in the Pre-Funded Warrants), a holder of Pre-Funded Warrants will be entitled to receive, upon exercise of the Pre-Funded Warrants, the kind and amount of securities, cash or other property that such holder would have received had they exercised the Pre-Funded Warrants immediately prior to the fundamental transaction; provided, however, that in the event of a fundamental transaction where the consideration consists solely of cash, solely of marketable securities or a combination thereof, each Pre-Funded Warrant will be deemed to be exercised in full in a cashless exercise effective immediately prior to and contingent upon the consummation of such fundamental transaction. Under the Pre-Funded Warrants, the Company may not effect the exercise of any such warrants, and a holder will not be entitled to exercise any portion of any such warrant that, upon giving effect to such exercise, would cause: (i) the aggregate number of shares of Common Stock beneficially owned by such holder (together with its affiliates) to exceed 4.99% or 9.99%, as elected by the holder, of the number of shares of Common Stock outstanding immediately after giving effect to the exercise; or (ii) the combined voting power of the Company’s securities beneficially owned by such holder (together with its affiliates) to exceed 4.99% or 9.99%, as elected by the holder, of the combined voting power of all of the Company’s securities outstanding immediately after giving effect to the exercise, as such percentage ownership is determined in accordance with the terms of the applicable warrant, which percentage may be changed at the holder’s election to a higher percentage not in excess of 19.99% upon 61 days’ notice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Private Placement to further fund clinical development and for other general corporate purposes. The Purchase Agreement contains customary representation and warranties of the Company, on the one hand, and the Investors, on the other hand, and customary closing conditions. The closing of the Private Placement is expected to occur on July 13, 2026.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Private Placement, the Company entered into a registration rights agreement, dated July 9, 2026 (the “Registration Rights Agreement”), with the Investors, pursuant to which the Company agreed to file a registration statement with the Securities and Exchange Commission (the “SEC”) covering the resale of the Securities (the “Registrable Securities”) within 30 days following the closing of the Private Placement (the “Filing Deadline”). The Company has agreed to use reasonable best efforts to cause such registration statement to be declared effective as promptly as possible but no later than the earlier of (i) the 60th calendar day following the initial filing date of such registration statement if the SEC notifies the Company that it will review such registration statement and (ii) the fifth business day after the Company is notified by the SEC that such registration statement will not be reviewed or will not be subject to further review. The Company has also agreed to keep such registration statement continuously effective until the date the Registrable Securities covered by such registration statement have been sold or cease to be Registrable Securities. The Company has agreed to be responsible for all fees and expenses incurred in connection with the registration of the Registrable Securities. The Company has granted the Investors customary indemnification rights in connection with the registration statement. The Investors have also granted the Company customary indemnification rights in connection with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Purchase Agreement, the Pre-Funded Warrants and the Registration Rights Agreement do not purport to be complete and are qualified in their entirety by reference to the full text of the form of Purchase Agreement, the form of Pre-Funded Warrant and the form of Registration Rights Agreement, copies of which are filed as Exhibits 10.1, 4.1 and 10.2 hereto, respectively,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contained in the Purchase Agreement and the Registration Rights Agreement were made solely for the benefit of the parties thereto and may be subject to limitations agreed upon by the contracting parties. Accordingly, the Purchase Agreement and the Registration Rights Agreement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025"/>
        <w:gridCol w:w="3395"/>
      </w:tblGrid>
      <w:tr>
        <w:trPr/>
        <w:tc>
          <w:tcPr>
            <w:tcW w:w="102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disclosures set forth in Item 1.01 above regarding the Private Placement are incorporated in this Item 3.02. The Shares and Pre-Funded Warrants are being sold and, upon exercise of the Pre-Funded Warrants the Warrant Shares, will be issued without registration under the Securities Act of 1933, as amended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 The Investors made relevant representations in the Purchase Agreement.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implement the Company’s 2026 Stock Incentive Plan and long-term incentive framework, both approved at the most recent shareholder meeting, the Company’s board of directors (the “Board”) granted on July 9, 2026 (the “Grant Date”) an aggregate of 1,064,492 restricted stock units (“RSUs”) to its employees and executive officers as one-time grants with time and performance-based vesting. Executive officers, Shao-Lee Lin, the Company’s President and Chief Executive Officer, received an award of 655,074 RSUs; Sumita Ray, the Company’s Chief Legal and Compliance Officer and Corporate Secretary, received an award of 109,178 RSUs; and Michael Meluzio, the Company’s Principal Accounting Officer, received an award of 81,884 RSUs.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Company’s non-employee directors also received a one-time grant of 21,800 RSUs, which will vest in three equal annual installments on each anniversary of the Grant Date.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9, 2026, the Company issued a press release announcing the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press release is attached as Exhibit 99.1 hereto and is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Such forward-looking statements include, but are not limited to, those regarding: the expected closing of, and anticipated use of proceeds from, the Private Placement; and the anticipated filing of a registration statement to register the resale of the Securities. Forward-looking statements, which are based on certain assumptions and describe the Company’s future plans, strategies and expectations, can generally be identified by the use of forward-looking terms such as “believe,” “expect,” “may,” “will,” “should,” “would,” “could,” “seek,” “intend,” “plan,” “goal,” “project,” “estimate,” “anticipate,” “strategy,” “future,” “likely,” “promise” or other comparable terms, although not all forward-looking statements contain these identifying words. All statements other than statements of historical facts included in this Current Report on Form 8-K regarding the Company’s strategies, prospects, financial condition, operations, costs, plans and objectives are forward-looking statements. Important factors that could cause the Company’s actual results and financial condition to differ materially from those indicated in the forward-looking statements include, among others, the satisfaction of customary closing conditions related to the Private Placement, the Company’s ability to maintain its License Agreement with Ascendant Health Sciences, Ltd., the Company’s ability to maintain its collaboration with ImmunoScape Pte. Ltd.; the Company’s limited operating history, limited cash and a history of losses; the Company’s ability to obtain adequate financing to fund its business operations in the near term and successfully remediate its current “going concern” determination that it does not have sufficient capital on hand to continue operations beyond the next twelve months; the Company’s ability to achieve profitability; potential setbacks in the Company’s research and development efforts including negative or inconclusive results from its preclinical studies or clinical trials or the Company’s ability to replicate in later clinical trials positive results found in preclinical studies and early-stage clinical trials of its product candidates; serious and unexpected drug-related side effects or other safety issues experienced by participants in clinical trials; its ability to secure required U.S. Food and Drug Administration (FDA) or other governmental approvals for its product candidates and the breadth of any approved indication; adverse effects caused by public health pandemics, including possible effects on the Company’s operations and clinical trials; delays and changes in regulatory requirements, policy and guidelines including potential delays in submitting required regulatory applications to the FDA; the Company’s reliance on licensors, collaborators, contract research organizations, suppliers and other business partners; the Company’s ability to obtain adequate financing to fund its business operations in the future and ability to continue as a going concern; the Company’s ability to maintain and enforce necessary patent and other intellectual property protection; competitive factors; general economic and market conditions and the other risks and uncertainties described in the Risk Factors and Management’s Discussion and Analysis of Financial Condition and Results of Operations sections of the Company’s most recently filed Annual Report on Form 10-K and any subsequently filed Quarterly Report(s) on Form 10-Q. Any forward-looking statement made by the Company in this Current Report on Form 8-K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w:t>
      </w:r>
      <w:r>
        <w:br w:type="page"/>
      </w:r>
    </w:p>
    <w:p>
      <w:pPr>
        <w:pStyle w:val="HorizontalLine"/>
        <w:bidi w:val="0"/>
        <w:jc w:val="left"/>
        <w:rPr/>
      </w:pPr>
      <w:r>
        <w:rPr/>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23955dex41.htm">
              <w:r>
                <w:rPr>
                  <w:rStyle w:val="InternetLink"/>
                </w:rPr>
                <w:t xml:space="preserve">Form of Pre-Funded Warrant to Purchase Common Stock to be issued to the Investors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23955dex101.htm">
              <w:r>
                <w:rPr>
                  <w:rStyle w:val="InternetLink"/>
                </w:rPr>
                <w:t xml:space="preserve">Form of Securities Purchase Agreement, dated as of July 9, 2026, by and among the Company and the Investors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23955dex102.htm">
              <w:r>
                <w:rPr>
                  <w:rStyle w:val="InternetLink"/>
                </w:rPr>
                <w:t xml:space="preserve">Form of Registration Rights Agreement, dated as of July 9, 2026, by and among the Company and the Investors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23955dex991.htm">
              <w:r>
                <w:rPr>
                  <w:rStyle w:val="InternetLink"/>
                </w:rPr>
                <w:t xml:space="preserve">Press Release, dated July 9,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83"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363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Cue Biopharma,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Shao-Lee Lin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Shao-Lee Lin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23955dex41.htm"/>
      <w:bookmarkStart w:id="3" w:name="ksd123955dex41"/>
      <w:bookmarkEnd w:id="2"/>
      <w:bookmarkEnd w:id="3"/>
      <w:r>
        <w:rPr>
          <w:rFonts w:ascii="Times New Roman" w:hAnsi="Times New Roman"/>
          <w:b/>
          <w:sz w:val="20"/>
        </w:rPr>
        <w:t xml:space="preserve">Exhibit 4.1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THESE SECURITIES REPRESENTED HEREBY AND THE SECURITIES ISSUABLE UPON EXERCISE OF THESE SECURITIES HAVE NOT BEEN REGISTERED WITH THE SECURITIES AND EXCHANGE COMMISSION OR THE SECURITIES COMMISSION OF ANY STATE BUT HAVE BEEN OR WILL BE ISSUED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CUE BIOPHARMA, INC. </w:t>
      </w:r>
    </w:p>
    <w:p>
      <w:pPr>
        <w:pStyle w:val="TextBody"/>
        <w:bidi w:val="0"/>
        <w:spacing w:before="120" w:after="0"/>
        <w:jc w:val="center"/>
        <w:rPr>
          <w:rFonts w:ascii="Times New Roman" w:hAnsi="Times New Roman"/>
          <w:b/>
          <w:sz w:val="20"/>
        </w:rPr>
      </w:pPr>
      <w:r>
        <w:rPr>
          <w:rFonts w:ascii="Times New Roman" w:hAnsi="Times New Roman"/>
          <w:b/>
          <w:sz w:val="20"/>
        </w:rPr>
        <w:t xml:space="preserve">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[_________]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06"/>
        <w:gridCol w:w="120"/>
        <w:gridCol w:w="5179"/>
      </w:tblGrid>
      <w:tr>
        <w:trPr/>
        <w:tc>
          <w:tcPr>
            <w:tcW w:w="49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79" w:type="dxa"/>
            <w:tcBorders/>
            <w:vAlign w:val="center"/>
          </w:tcPr>
          <w:p>
            <w:pPr>
              <w:pStyle w:val="TableContents"/>
              <w:bidi w:val="0"/>
              <w:spacing w:before="0" w:after="283"/>
              <w:jc w:val="left"/>
              <w:rPr>
                <w:sz w:val="4"/>
                <w:szCs w:val="4"/>
              </w:rPr>
            </w:pPr>
            <w:r>
              <w:rPr>
                <w:sz w:val="4"/>
                <w:szCs w:val="4"/>
              </w:rPr>
            </w:r>
          </w:p>
        </w:tc>
      </w:tr>
      <w:tr>
        <w:trPr/>
        <w:tc>
          <w:tcPr>
            <w:tcW w:w="4906" w:type="dxa"/>
            <w:tcBorders/>
          </w:tcPr>
          <w:p>
            <w:pPr>
              <w:pStyle w:val="TableContents"/>
              <w:bidi w:val="0"/>
              <w:spacing w:before="0" w:after="0"/>
              <w:jc w:val="left"/>
              <w:rPr>
                <w:rFonts w:ascii="Times New Roman" w:hAnsi="Times New Roman"/>
                <w:sz w:val="20"/>
              </w:rPr>
            </w:pPr>
            <w:r>
              <w:rPr>
                <w:rFonts w:ascii="Times New Roman" w:hAnsi="Times New Roman"/>
                <w:sz w:val="20"/>
              </w:rPr>
              <w:t>Warrant No. [___]</w:t>
            </w:r>
          </w:p>
        </w:tc>
        <w:tc>
          <w:tcPr>
            <w:tcW w:w="120" w:type="dxa"/>
            <w:tcBorders/>
            <w:vAlign w:val="bottom"/>
          </w:tcPr>
          <w:p>
            <w:pPr>
              <w:pStyle w:val="TableContents"/>
              <w:bidi w:val="0"/>
              <w:spacing w:before="0" w:after="283"/>
              <w:jc w:val="left"/>
              <w:rPr/>
            </w:pPr>
            <w:r>
              <w:rPr/>
              <w:t>  </w:t>
            </w:r>
          </w:p>
        </w:tc>
        <w:tc>
          <w:tcPr>
            <w:tcW w:w="5179" w:type="dxa"/>
            <w:tcBorders/>
            <w:vAlign w:val="bottom"/>
          </w:tcPr>
          <w:p>
            <w:pPr>
              <w:pStyle w:val="TableContents"/>
              <w:bidi w:val="0"/>
              <w:spacing w:before="0" w:after="283"/>
              <w:jc w:val="right"/>
              <w:rPr/>
            </w:pPr>
            <w:r>
              <w:rPr/>
              <w:t>Original Issue Date: [___], 2026</w:t>
            </w:r>
          </w:p>
        </w:tc>
      </w:tr>
    </w:tbl>
    <w:p>
      <w:pPr>
        <w:pStyle w:val="TextBody"/>
        <w:bidi w:val="0"/>
        <w:spacing w:before="240" w:after="0"/>
        <w:jc w:val="left"/>
        <w:rPr>
          <w:rFonts w:ascii="Times New Roman" w:hAnsi="Times New Roman"/>
          <w:sz w:val="20"/>
        </w:rPr>
      </w:pPr>
      <w:r>
        <w:rPr>
          <w:rFonts w:ascii="Times New Roman" w:hAnsi="Times New Roman"/>
          <w:sz w:val="20"/>
        </w:rPr>
        <w:t>Cue Biopharma, Inc.,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[___________]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[______] shares of common stock, $0.001 par value per share (the “</w:t>
      </w:r>
      <w:r>
        <w:rPr>
          <w:rFonts w:ascii="Times New Roman" w:hAnsi="Times New Roman"/>
          <w:b/>
          <w:sz w:val="20"/>
        </w:rPr>
        <w:t>Common Stock</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$0.001 per share (as adjusted from time to time as provided in Section 9 herein, the “</w:t>
      </w:r>
      <w:r>
        <w:rPr>
          <w:rFonts w:ascii="Times New Roman" w:hAnsi="Times New Roman"/>
          <w:b/>
          <w:sz w:val="20"/>
        </w:rPr>
        <w:t>Exercise Price</w:t>
      </w:r>
      <w:r>
        <w:rPr>
          <w:rFonts w:ascii="Times New Roman" w:hAnsi="Times New Roman"/>
          <w:sz w:val="20"/>
        </w:rPr>
        <w:t>”) upon surrender of this Warrant to Purchase Common Stock (including any Warrants to Purchase Common Stock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[____], 2026 (the “</w:t>
      </w:r>
      <w:r>
        <w:rPr>
          <w:rFonts w:ascii="Times New Roman" w:hAnsi="Times New Roman"/>
          <w:b/>
          <w:sz w:val="20"/>
        </w:rPr>
        <w:t>Initial Exercise Date</w:t>
      </w:r>
      <w:r>
        <w:rPr>
          <w:rFonts w:ascii="Times New Roman" w:hAnsi="Times New Roman"/>
          <w:sz w:val="20"/>
        </w:rPr>
        <w:t>”) and through and including the date this Warrant is exercised in full (the “</w:t>
      </w:r>
      <w:r>
        <w:rPr>
          <w:rFonts w:ascii="Times New Roman" w:hAnsi="Times New Roman"/>
          <w:b/>
          <w:sz w:val="20"/>
        </w:rPr>
        <w:t>Expiration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Affiliate</w:t>
      </w:r>
      <w:r>
        <w:rPr>
          <w:rFonts w:ascii="Times New Roman" w:hAnsi="Times New Roman"/>
          <w:sz w:val="20"/>
        </w:rPr>
        <w:t xml:space="preserve">” means any Person directly or indirectly controlled by, controlling or under common control with, a Holder, as such terms are used in and construed under Rule 405 under the Securities Act, but only for so long as such control shall continue.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b/>
          <w:sz w:val="20"/>
        </w:rPr>
        <w:t>Marketable Securities</w:t>
      </w:r>
      <w:r>
        <w:rPr>
          <w:rFonts w:ascii="Times New Roman" w:hAnsi="Times New Roman"/>
          <w:sz w:val="20"/>
        </w:rPr>
        <w:t>” means securities meeting all of the following requirements: (i) the issuer thereof is then subject to the reporting requirements of Section 13 or Section 15(d) of the Securities Exchange Act of 1934, as amended (the “</w:t>
      </w:r>
      <w:r>
        <w:rPr>
          <w:rFonts w:ascii="Times New Roman" w:hAnsi="Times New Roman"/>
          <w:b/>
          <w:sz w:val="20"/>
        </w:rPr>
        <w:t>Exchange Act</w:t>
      </w:r>
      <w:r>
        <w:rPr>
          <w:rFonts w:ascii="Times New Roman" w:hAnsi="Times New Roman"/>
          <w:sz w:val="20"/>
        </w:rPr>
        <w:t xml:space="preserve">”),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date hereof, shall be the Nasdaq Capital Market.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Trading Day</w:t>
      </w:r>
      <w:r>
        <w:rPr>
          <w:rFonts w:ascii="Times New Roman" w:hAnsi="Times New Roman"/>
          <w:sz w:val="20"/>
        </w:rPr>
        <w:t xml:space="preserve">”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Registration of Warrants</w:t>
      </w:r>
      <w:r>
        <w:rPr>
          <w:rFonts w:ascii="Times New Roman" w:hAnsi="Times New Roman"/>
          <w:sz w:val="20"/>
        </w:rPr>
        <w: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Exercise and Duration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the manner set forth herein at any time and from time to time on or after the Initial Exercise Date and through and including the Expiration Date until exercised in full.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Holder may exercise this Warrant by delivering to the Company an exercise notice, in the form attached as Schedule 1 hereto (the “</w:t>
      </w:r>
      <w:r>
        <w:rPr>
          <w:rFonts w:ascii="Times New Roman" w:hAnsi="Times New Roman"/>
          <w:b/>
          <w:sz w:val="20"/>
        </w:rPr>
        <w:t>Exercise Notice</w:t>
      </w:r>
      <w:r>
        <w:rPr>
          <w:rFonts w:ascii="Times New Roman" w:hAnsi="Times New Roman"/>
          <w:sz w:val="20"/>
        </w:rPr>
        <w:t>”), completed and duly signed. The date on which such exercise notice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 xml:space="preserve">Delivery of Warrant Shares.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three (3) Trading Days after the Exercise Date), upon the request of the Holder, cause the Transfer Agent to credit such aggregate number of shares of Common Stock to which the Holder is entitled pursuant to such exercise to the Holder’s or its designee’s balance account with The Depository Trust Company (“</w:t>
      </w:r>
      <w:r>
        <w:rPr>
          <w:rFonts w:ascii="Times New Roman" w:hAnsi="Times New Roman"/>
          <w:b/>
          <w:sz w:val="20"/>
        </w:rPr>
        <w:t>DTC</w:t>
      </w:r>
      <w:r>
        <w:rPr>
          <w:rFonts w:ascii="Times New Roman" w:hAnsi="Times New Roman"/>
          <w:sz w:val="20"/>
        </w:rPr>
        <w:t>”) through its Deposit and Withdrawal At Custodian system, or if the Transfer Agent is not participating in the Fast Automated Securities Transfer Program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hAnsi="Times New Roman"/>
          <w:b/>
          <w:sz w:val="20"/>
        </w:rPr>
        <w:t>Person</w:t>
      </w:r>
      <w:r>
        <w:rPr>
          <w:rFonts w:ascii="Times New Roman" w:hAnsi="Times New Roman"/>
          <w:sz w:val="20"/>
        </w:rPr>
        <w:t xml:space="preserve">”)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If by the close of the third (3rd)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credit the Holder’s balance account with DTC for such number of Warrant Shares to which the Holder is entitled, and if after such third (3rd)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then the Company shall, within three (3)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and pay cash to the Holder in an amount equal to the excess (if any) of Holder’s total purchase price (including brokerage commissions, if any) for the shares of Common Stock so purchased in the Buy-In over the product of (A) the number of shares of Common Stock purchased in the Buy-In, times (B) the Closing Sale Price of a share of Common Stock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cause the Transfer Agent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its Common Stock or any other equity or equity equivalent securities that is payable in shares of Common Stock (which, for avoidance of doubt, shall not include any shares of Common Stock issued by the Company upon exercise of this Warrant),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clauses (ii) through (iv) of this paragraph shall become effective immediately after the effective date of such subdivision combination or reclassification.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the Company, at any time while this Warrant is outstanding, distributes to all holders of Common Stock for no consideration (i) evidences of its indebtedness, (ii) any security (other than a distribution of Common Stock covered by the preceding paragraph), (iii) rights or warrants to subscribe for or purchase any security (including Common Stock) or other property, or (iv) cash or any other asset (in each case, a “</w:t>
      </w:r>
      <w:r>
        <w:rPr>
          <w:rFonts w:ascii="Times New Roman" w:hAnsi="Times New Roman"/>
          <w:b/>
          <w:sz w:val="20"/>
        </w:rPr>
        <w:t>Distribution</w:t>
      </w:r>
      <w:r>
        <w:rPr>
          <w:rFonts w:ascii="Times New Roman" w:hAnsi="Times New Roman"/>
          <w:sz w:val="20"/>
        </w:rPr>
        <w:t xml:space="preserve">”), other than a reclassification as to which Section 9(c) applies,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ownership limitation set forth in Section 11(a) hereof) immediately before the date of which a record is taken for such Distribution, or, if no such record is taken, the date as of which the record holders of Common Stock are to be determined for the participation in such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to the extent that the Holder’s right to participate in any such Distribution would result in the Holder exceeding the ownership limitation set forth in Section 11(a) hereof,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the delivery to such Holder of such portion would not result in the Holder exceeding the ownership limitation set forth in Section 11(a)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If, at any time while this Warrant is outstanding (i) the Company effects any merger or consolidation of the Company with or into another Person, in which the Company is not the surviving entity,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(in the case of clause (iii) above, assuming it had tendered, and the offeror had accepted, such Warrant Shares)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Notwithstanding the foregoing, in the event of a Fundamental Transaction where the consideration payable to holders of Common Stock consists solely of cash, solely of Marketable Securities or a combination of cash and Marketable Securities, then this Warrant shall automatically be deemed to be exercised in full in a “cashless exercise” pursuant to Section 10 below effective immediately prior to and contingent upon the consummation of such Fundamental Transaction.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Exercise Price</w:t>
      </w:r>
      <w:r>
        <w:rPr>
          <w:rFonts w:ascii="Times New Roman" w:hAnsi="Times New Roman"/>
          <w:sz w:val="20"/>
        </w:rPr>
        <w:t xml:space="preserve">. Simultaneously with any adjustment to the Number of Warrant Shares pursuant to Section 9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9 shall be made to the nearest one-hundredth of one cent or the nearest whole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9(c), other than a Fundamental Transaction under clause (iii) of Section 9(c), then, except if such notice and the contents thereof shall be deemed to constitute material non-public information, the Company shall deliver to the Holder a notice of such Fundamental Transaction at least ten (10) days prior to the date such Fundamental Transaction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Cashless Exercise</w:t>
      </w:r>
      <w:r>
        <w:rPr>
          <w:rFonts w:ascii="Times New Roman" w:hAnsi="Times New Roman"/>
          <w:sz w:val="20"/>
        </w:rPr>
        <w:t xml:space="preserve">. Notwithstanding anything contained herein to the contrary, this Warrant may only be exercised through a “cashless exercise.” Upon exercise,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X = Y [(A-B)/A]</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per share of Common Stock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In no event will the exercise of this Warrant be settled in cash.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 xml:space="preserve">Limitations on Exercise.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Common Stock would be aggregated with the Holder’s for purposes of Section 13(d) of the Exchange Act to exceed [4.99]/[9.99]% (the “</w:t>
      </w:r>
      <w:r>
        <w:rPr>
          <w:rFonts w:ascii="Times New Roman" w:hAnsi="Times New Roman"/>
          <w:b/>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[4.99]/[9.99]%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filed with the Commission prior to the date hereof, (y) a more recent public announcement by the Company or (z) any other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9(c)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40 Guest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02135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or </w:t>
      </w:r>
    </w:p>
    <w:p>
      <w:pPr>
        <w:pStyle w:val="TextBody"/>
        <w:bidi w:val="0"/>
        <w:spacing w:before="240" w:after="0"/>
        <w:jc w:val="left"/>
        <w:rPr>
          <w:rFonts w:ascii="Times New Roman" w:hAnsi="Times New Roman"/>
          <w:sz w:val="20"/>
        </w:rPr>
      </w:pPr>
      <w:r>
        <w:rPr>
          <w:rFonts w:ascii="Times New Roman" w:hAnsi="Times New Roman"/>
          <w:sz w:val="20"/>
        </w:rPr>
        <w:t xml:space="preserve">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40 Guest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02135 </w:t>
      </w:r>
    </w:p>
    <w:p>
      <w:pPr>
        <w:pStyle w:val="TextBody"/>
        <w:bidi w:val="0"/>
        <w:spacing w:before="0" w:after="0"/>
        <w:jc w:val="left"/>
        <w:rPr>
          <w:rFonts w:ascii="Times New Roman" w:hAnsi="Times New Roman"/>
          <w:sz w:val="20"/>
        </w:rPr>
      </w:pPr>
      <w:r>
        <w:rPr>
          <w:rFonts w:ascii="Times New Roman" w:hAnsi="Times New Roman"/>
          <w:sz w:val="20"/>
        </w:rPr>
        <w:t xml:space="preserve">Attention: Finance Team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notice provided hereunder constitutes, or contains, material, non-public information regarding the Company or any subsidiary, the Company shall simultaneously file such notice with the Commission pursuant to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Warrant Agent</w:t>
      </w:r>
      <w:r>
        <w:rPr>
          <w:rFonts w:ascii="Times New Roman" w:hAnsi="Times New Roman"/>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the foregoing, the parties will treat the Warrant as the ownership of corresponding Warrant Shares for applicable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this Warrant may be modified or amended or the provisions hereof waived with the written consent of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CUE BIOPHARMA, INC.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 </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Shao-Lee Lin</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Warrant to Purchase Common Stock]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is the Holder of Warrant No. ___ (the “Warrant”) issued by Cue Biopharma, Inc., a Delaware corporation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___________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a “Cashless Exercise” under Section 10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(4) Pursuant to this Exercise Notice, the Company shall deliver to the Holder the applicable number of Warrant Shares determined in accordance with the terms of the Warrant. The Warrant Shares shall be delivered to the following DWAC Account Number: 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(5)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4" w:name="d123955dex101.htm"/>
      <w:bookmarkStart w:id="5" w:name="ksd123955dex101"/>
      <w:bookmarkEnd w:id="4"/>
      <w:bookmarkEnd w:id="5"/>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July 9, 2026, by and among Cue Biopharma, Inc., a Delaware corporation (the “</w:t>
      </w:r>
      <w:r>
        <w:rPr>
          <w:rFonts w:ascii="Times New Roman" w:hAnsi="Times New Roman"/>
          <w:b/>
          <w:sz w:val="20"/>
        </w:rPr>
        <w:t>Company</w:t>
      </w:r>
      <w:r>
        <w:rPr>
          <w:rFonts w:ascii="Times New Roman" w:hAnsi="Times New Roman"/>
          <w:sz w:val="20"/>
        </w:rPr>
        <w:t xml:space="preserve">”), and each of the purchasers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Investors are executing and delivering this Agreement in reliance upon the exemption from securities registration afforded by Section 4(a)(2) of the Securities Act (as defined below) and Rule 506 of Regulation D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(A) shares (the “</w:t>
      </w:r>
      <w:r>
        <w:rPr>
          <w:rFonts w:ascii="Times New Roman" w:hAnsi="Times New Roman"/>
          <w:b/>
          <w:sz w:val="20"/>
        </w:rPr>
        <w:t>Shares</w:t>
      </w:r>
      <w:r>
        <w:rPr>
          <w:rFonts w:ascii="Times New Roman" w:hAnsi="Times New Roman"/>
          <w:sz w:val="20"/>
        </w:rPr>
        <w:t>”) of the Company’s common stock, par value $0.001 per share (the “</w:t>
      </w:r>
      <w:r>
        <w:rPr>
          <w:rFonts w:ascii="Times New Roman" w:hAnsi="Times New Roman"/>
          <w:b/>
          <w:sz w:val="20"/>
        </w:rPr>
        <w:t>Common Stock</w:t>
      </w:r>
      <w:r>
        <w:rPr>
          <w:rFonts w:ascii="Times New Roman" w:hAnsi="Times New Roman"/>
          <w:sz w:val="20"/>
        </w:rPr>
        <w:t xml:space="preserve">”) and (B) pre-funded warrants to purchase shares of Common Stock substantially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Pre-Funded Warrants</w:t>
      </w:r>
      <w:r>
        <w:rPr>
          <w:rFonts w:ascii="Times New Roman" w:hAnsi="Times New Roman"/>
          <w:sz w:val="20"/>
        </w:rPr>
        <w:t>” and together with the Shares, the “</w:t>
      </w:r>
      <w:r>
        <w:rPr>
          <w:rFonts w:ascii="Times New Roman" w:hAnsi="Times New Roman"/>
          <w:b/>
          <w:sz w:val="20"/>
        </w:rPr>
        <w:t>Securities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Securities, the parties hereto will execute and deliver a Registration Rights Agreement, substantially in the form attached hereto as </w:t>
      </w:r>
      <w:r>
        <w:rPr>
          <w:rFonts w:ascii="Times New Roman" w:hAnsi="Times New Roman"/>
          <w:sz w:val="20"/>
          <w:u w:val="single"/>
        </w:rPr>
        <w:t>Exhibit C</w:t>
      </w:r>
      <w:r>
        <w:rPr>
          <w:rFonts w:ascii="Times New Roman" w:hAnsi="Times New Roman"/>
          <w:sz w:val="20"/>
        </w:rPr>
        <w:t xml:space="preserve">, pursuant to which the Company will agree to provide certain registration rights in respect of the Shares and the Warrant Shares (as defined below) under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as such terms are used in or construed under Rule 405 promulgated under the Securities Act.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Amended and Restated Bylaws</w:t>
      </w:r>
      <w:r>
        <w:rPr>
          <w:rFonts w:ascii="Times New Roman" w:hAnsi="Times New Roman"/>
          <w:sz w:val="20"/>
        </w:rPr>
        <w:t xml:space="preserve">” means the Bylaws of the Company, as currently in effect. </w:t>
      </w:r>
    </w:p>
    <w:p>
      <w:pPr>
        <w:pStyle w:val="TextBody"/>
        <w:bidi w:val="0"/>
        <w:spacing w:before="240" w:after="0"/>
        <w:jc w:val="left"/>
        <w:rPr/>
      </w:pPr>
      <w:r>
        <w:rPr/>
        <w:t>“</w:t>
      </w:r>
      <w:r>
        <w:rPr>
          <w:rFonts w:ascii="Times New Roman" w:hAnsi="Times New Roman"/>
          <w:b/>
          <w:sz w:val="20"/>
        </w:rPr>
        <w:t>Amended and Restated Certificate of Incorporation</w:t>
      </w:r>
      <w:r>
        <w:rPr>
          <w:rFonts w:ascii="Times New Roman" w:hAnsi="Times New Roman"/>
          <w:sz w:val="20"/>
        </w:rPr>
        <w:t xml:space="preserve">” means the Certificate of Incorporation of the Company, as currently in effect.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Beneficial Ownership Limitation</w:t>
      </w:r>
      <w:r>
        <w:rPr>
          <w:rFonts w:ascii="Times New Roman" w:hAnsi="Times New Roman"/>
          <w:sz w:val="20"/>
        </w:rPr>
        <w:t xml:space="preserve">” shall initially be set at the discretion of each Investor to a beneficial ownership percentage (determined in accordance with the Pre-Funded Warrants) as designated by such Investor on its signature page hereto but which shall not, in any case, exceed 19.9% of the outstanding shares of Common Stock or the voting power of the Company on a post transaction basis that assumes that the Closing shall have occurred.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and the rules and regulations and published interpretations thereunder.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Common Stock Equivalents</w:t>
      </w:r>
      <w:r>
        <w:rPr>
          <w:rFonts w:ascii="Times New Roman" w:hAnsi="Times New Roman"/>
          <w:sz w:val="20"/>
        </w:rPr>
        <w:t xml:space="preserve">”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Disqualification Event</w:t>
      </w:r>
      <w:r>
        <w:rPr>
          <w:rFonts w:ascii="Times New Roman" w:hAnsi="Times New Roman"/>
          <w:sz w:val="20"/>
        </w:rPr>
        <w:t xml:space="preserve">” has the meaning set forth in </w:t>
      </w:r>
      <w:r>
        <w:rPr>
          <w:rFonts w:ascii="Times New Roman" w:hAnsi="Times New Roman"/>
          <w:sz w:val="20"/>
          <w:u w:val="single"/>
        </w:rPr>
        <w:t>Sections 3.28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has the meaning set forth in </w:t>
      </w:r>
      <w:r>
        <w:rPr>
          <w:rFonts w:ascii="Times New Roman" w:hAnsi="Times New Roman"/>
          <w:sz w:val="20"/>
          <w:u w:val="single"/>
        </w:rPr>
        <w:t>Section 3.13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has the meaning set forth in </w:t>
      </w:r>
      <w:r>
        <w:rPr>
          <w:rFonts w:ascii="Times New Roman" w:hAnsi="Times New Roman"/>
          <w:sz w:val="20"/>
          <w:u w:val="single"/>
        </w:rPr>
        <w:t>Section 3.13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FCPA</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FDA</w:t>
      </w:r>
      <w:r>
        <w:rPr>
          <w:rFonts w:ascii="Times New Roman" w:hAnsi="Times New Roman"/>
          <w:sz w:val="20"/>
        </w:rPr>
        <w:t xml:space="preserve">” means the Food and Drug Administration of the U.S. Department of Health and Human Services.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Foreign Purchaser</w:t>
      </w:r>
      <w:r>
        <w:rPr>
          <w:rFonts w:ascii="Times New Roman" w:hAnsi="Times New Roman"/>
          <w:sz w:val="20"/>
        </w:rPr>
        <w:t xml:space="preserve">” has the meaning set forth in </w:t>
      </w:r>
      <w:r>
        <w:rPr>
          <w:rFonts w:ascii="Times New Roman" w:hAnsi="Times New Roman"/>
          <w:sz w:val="20"/>
          <w:u w:val="single"/>
        </w:rPr>
        <w:t>Section 4.5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 xml:space="preserve">Indemnified Person” </w:t>
      </w:r>
      <w:r>
        <w:rPr>
          <w:rFonts w:ascii="Times New Roman" w:hAnsi="Times New Roman"/>
          <w:sz w:val="20"/>
        </w:rPr>
        <w:t xml:space="preserve">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w:t>
      </w:r>
    </w:p>
    <w:p>
      <w:pPr>
        <w:pStyle w:val="TextBody"/>
        <w:bidi w:val="0"/>
        <w:spacing w:before="240" w:after="0"/>
        <w:jc w:val="left"/>
        <w:rPr/>
      </w:pPr>
      <w:r>
        <w:rPr/>
        <w:t>“</w:t>
      </w:r>
      <w:r>
        <w:rPr>
          <w:rFonts w:ascii="Times New Roman" w:hAnsi="Times New Roman"/>
          <w:b/>
          <w:sz w:val="20"/>
        </w:rPr>
        <w:t>Investor Adverse Effect</w:t>
      </w:r>
      <w:r>
        <w:rPr>
          <w:rFonts w:ascii="Times New Roman" w:hAnsi="Times New Roman"/>
          <w:sz w:val="20"/>
        </w:rPr>
        <w:t xml:space="preserve">” has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Issuer Covered Person</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IT Systems and Data</w:t>
      </w:r>
      <w:r>
        <w:rPr>
          <w:rFonts w:ascii="Times New Roman" w:hAnsi="Times New Roman"/>
          <w:sz w:val="20"/>
        </w:rPr>
        <w:t xml:space="preserve">” has the meaning set forth in </w:t>
      </w:r>
      <w:r>
        <w:rPr>
          <w:rFonts w:ascii="Times New Roman" w:hAnsi="Times New Roman"/>
          <w:sz w:val="20"/>
          <w:u w:val="single"/>
        </w:rPr>
        <w:t>Section 3.32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w:t>
      </w:r>
    </w:p>
    <w:p>
      <w:pPr>
        <w:pStyle w:val="TextBody"/>
        <w:bidi w:val="0"/>
        <w:spacing w:before="240" w:after="0"/>
        <w:jc w:val="left"/>
        <w:rPr/>
      </w:pPr>
      <w:r>
        <w:rPr/>
        <w:t>“</w:t>
      </w:r>
      <w:r>
        <w:rPr>
          <w:rFonts w:ascii="Times New Roman" w:hAnsi="Times New Roman"/>
          <w:b/>
          <w:sz w:val="20"/>
        </w:rPr>
        <w:t>Money Laundering Laws</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any of the following markets or exchanges on which the Common Stock is listed or quoted for trading on the date in question, together with any successor thereto: The New York Stock Exchange, the NYSE American, the Nasdaq Global Select Market, the Nasdaq Global Market, and the Nasdaq Capital Market. </w:t>
      </w:r>
    </w:p>
    <w:p>
      <w:pPr>
        <w:pStyle w:val="TextBody"/>
        <w:bidi w:val="0"/>
        <w:spacing w:before="240" w:after="0"/>
        <w:jc w:val="left"/>
        <w:rPr/>
      </w:pPr>
      <w:r>
        <w:rPr/>
        <w:t>“</w:t>
      </w:r>
      <w:r>
        <w:rPr>
          <w:rFonts w:ascii="Times New Roman" w:hAnsi="Times New Roman"/>
          <w:b/>
          <w:sz w:val="20"/>
        </w:rPr>
        <w:t>Permits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means any personal, personally identifiable, household, sensitive, confidential or regulated data. </w:t>
      </w:r>
    </w:p>
    <w:p>
      <w:pPr>
        <w:pStyle w:val="TextBody"/>
        <w:bidi w:val="0"/>
        <w:spacing w:before="240" w:after="0"/>
        <w:jc w:val="left"/>
        <w:rPr/>
      </w:pPr>
      <w:r>
        <w:rPr/>
        <w:t>“</w:t>
      </w:r>
      <w:r>
        <w:rPr>
          <w:rFonts w:ascii="Times New Roman" w:hAnsi="Times New Roman"/>
          <w:b/>
          <w:sz w:val="20"/>
        </w:rPr>
        <w:t>Pre-Funded Warrants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Pre-Funded Warrant Price</w:t>
      </w:r>
      <w:r>
        <w:rPr>
          <w:rFonts w:ascii="Times New Roman" w:hAnsi="Times New Roman"/>
          <w:sz w:val="20"/>
        </w:rPr>
        <w:t xml:space="preserve">” means $33.209.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 Reports</w:t>
      </w:r>
      <w:r>
        <w:rPr>
          <w:rFonts w:ascii="Times New Roman" w:hAnsi="Times New Roman"/>
          <w:sz w:val="20"/>
        </w:rPr>
        <w:t xml:space="preserve">” 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and the rules and regulations promulgated thereunder.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$33.21.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Transaction Agreements</w:t>
      </w:r>
      <w:r>
        <w:rPr>
          <w:rFonts w:ascii="Times New Roman" w:hAnsi="Times New Roman"/>
          <w:sz w:val="20"/>
        </w:rPr>
        <w:t xml:space="preserve">” means this Agreement, the Pre-Funded Warrants and the Registration Rights Agreement.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N.A.,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USPTO</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Warrant Shares</w:t>
      </w:r>
      <w:r>
        <w:rPr>
          <w:rFonts w:ascii="Times New Roman" w:hAnsi="Times New Roman"/>
          <w:sz w:val="20"/>
        </w:rPr>
        <w:t xml:space="preserve">” has the meaning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xml:space="preserve">. On the Closing Date, upon the terms and subject to the conditions set forth herein, the Company agrees to sell, and the Investors, severally and not jointly, agree to purchase, the number and type of Securities, for the aggregate purchase price set forth opposite each Investor’s name on </w:t>
      </w:r>
      <w:r>
        <w:rPr>
          <w:rFonts w:ascii="Times New Roman" w:hAnsi="Times New Roman"/>
          <w:sz w:val="20"/>
          <w:u w:val="single"/>
        </w:rPr>
        <w:t>Exhibit A</w:t>
      </w:r>
      <w:r>
        <w:rPr>
          <w:rFonts w:ascii="Times New Roman" w:hAnsi="Times New Roman"/>
          <w:sz w:val="20"/>
        </w:rPr>
        <w:t xml:space="preserve">. The purchase price per Share is equal to the Share Price. The purchase price per Pre-Funded Warrant is equal to the Pre-Funded Warrant Price.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6</w:t>
      </w:r>
      <w:r>
        <w:rPr>
          <w:rFonts w:ascii="Times New Roman" w:hAnsi="Times New Roman"/>
          <w:sz w:val="20"/>
        </w:rPr>
        <w:t xml:space="preserve"> of this Agreement,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xml:space="preserve">”) shall occur remotely via the exchange of documents and signatures at such time as agreed to by the Company and the Investors but (i) in no event earlier than the first Business Day after the date of this Agreement and (ii) in no event later than the fifth Business Day after the date of this Agreement. At the Closing, (a) the Shares shall be issued and registered in the name of the Investor, or in such nominee name(s) as designated by such Investor, representing the number of Shares to be purchased by the Investor at such Closing as set forth in </w:t>
      </w:r>
      <w:r>
        <w:rPr>
          <w:rFonts w:ascii="Times New Roman" w:hAnsi="Times New Roman"/>
          <w:sz w:val="20"/>
          <w:u w:val="single"/>
        </w:rPr>
        <w:t>Exhibit A</w:t>
      </w:r>
      <w:r>
        <w:rPr>
          <w:rFonts w:ascii="Times New Roman" w:hAnsi="Times New Roman"/>
          <w:sz w:val="20"/>
        </w:rPr>
        <w:t xml:space="preserve"> and (b) the Company shall deliver to the Investor (or such Investor’s designated custodian per its delivery instructions), or in such nominee name(s) as designated by such Investor, Pre-Funded Warrants exercisable for a number of shares of Common Stock as set forth in Exhibit A with respect to such Investor, in each case against payment to the Company of the purchase price therefor (the “</w:t>
      </w:r>
      <w:r>
        <w:rPr>
          <w:rFonts w:ascii="Times New Roman" w:hAnsi="Times New Roman"/>
          <w:b/>
          <w:sz w:val="20"/>
        </w:rPr>
        <w:t>Aggregate Purchase Amount</w:t>
      </w:r>
      <w:r>
        <w:rPr>
          <w:rFonts w:ascii="Times New Roman" w:hAnsi="Times New Roman"/>
          <w:sz w:val="20"/>
        </w:rPr>
        <w:t xml:space="preserve">”) in full, by wire transfer to the Company of immediately available funds, at or prior to the Closing, in accordance with wire instructions provided by the Company to the Investors at least one Business Day prior to the Closing. On the Closing Date, the Company will cause (A) the Transfer Agent to issue the Shares in book-entry form, free and clear of all restrictive and other legends (except as expressly provided in Section 4.11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Pre-Funded Warrants exercisable for a number of shares of Common Stock as set forth in </w:t>
      </w:r>
      <w:r>
        <w:rPr>
          <w:rFonts w:ascii="Times New Roman" w:hAnsi="Times New Roman"/>
          <w:sz w:val="20"/>
          <w:u w:val="single"/>
        </w:rPr>
        <w:t>Exhibit A</w:t>
      </w:r>
      <w:r>
        <w:rPr>
          <w:rFonts w:ascii="Times New Roman" w:hAnsi="Times New Roman"/>
          <w:sz w:val="20"/>
        </w:rPr>
        <w:t xml:space="preserve"> with respect to such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Except as set forth in the SEC Reports,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of this Agreement and as of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as disclosed in the SEC Reports,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The Company has all requisite corporate power and authority to enter into the Transaction Agreements and to carry out and perform its obligations under the terms of the Transaction Agreements, including the issuance and sale of the Securities and the issuance the shares of Common Stock issuable upon exercise of the Pre-Funded Warrants (the “</w:t>
      </w:r>
      <w:r>
        <w:rPr>
          <w:rFonts w:ascii="Times New Roman" w:hAnsi="Times New Roman"/>
          <w:b/>
          <w:sz w:val="20"/>
        </w:rPr>
        <w:t>Warrant Shares</w:t>
      </w:r>
      <w:r>
        <w:rPr>
          <w:rFonts w:ascii="Times New Roman" w:hAnsi="Times New Roman"/>
          <w:sz w:val="20"/>
        </w:rPr>
        <w:t xml:space="preserve">”). All corporate action on the part of the Company, its officers, directors and stockholders necessary for the authorization of the Shares and the Warrant Shares, the authorization, execution, delivery and performance of the Transaction Agreements and the consummation of the transactions contemplated herein, including the issuance and sale of the Securities and the Warrant Shares, has been taken. This Agreement has been duly executed and delivered by the Company and, assuming the due authorization, execution and delivery by each Investor of this Agreement and that this Agreement constitutes the legal, valid and binding agreement of each Investor, this Agreement and each Pre-Funded Warrant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Shares shall be entitled to all rights accorded to a holder of Common Stock. The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Warrant Shares shall be entitled to all rights accorded to a holder of Common Stock. The issuance and delivery of the Shares and the Pre-Funded Warrants does not, and the exercise in full of the Pre-Funded Warrants and the issuance and delivery of the Warrant Shares thereupon will not, (a) obligate the Company to offer to issue, or issue, shares of Common Stock or other securities to any Person (other than the Investors) pursuant to any preemptive rights, rights of first refusal, rights of participation or similar rights, except such rights as have been or will be waived,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the offer and sale of the Securities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Conflicts</w:t>
      </w:r>
      <w:r>
        <w:rPr>
          <w:rFonts w:ascii="Times New Roman" w:hAnsi="Times New Roman"/>
          <w:sz w:val="20"/>
        </w:rPr>
        <w:t xml:space="preserve">. The issue and sale of the Securities and the compliance by the Company with the Transaction Agreements and the consummation of the transactions contemplated by the Transaction Agreements will not conflict with or result in a breach or violation of any of the terms or provisions of, or constitute a default under, (i) any indenture, mortgage, deed of trust, loan agreement or other agreement or instrument to which the Company is a party or by which the Company is bound or to which any of the property or assets of the Company is subject, (ii) the Amended and Restated Certificate of Incorporation or Amended and Restated Bylaws (or other applicable organizational document) of the Company, or (iii) any statute or any judgment, order, rule or regulation of any court or governmental agency or body having jurisdiction over the Company or any of its properties, except, in the case of clauses (i) and (iii) for such defaults, breaches, or violations that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each Investor set forth in Section 4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or the Warrant Shares and the listing of the Shares or the Warrant Shares for trading or quotation, as the case may be, thereon in the time and manner required thereby, (c) customary post-closing filings with the SEC or pursuant to state securities laws in connection with the offer and sale of the Shares or the Warrant Shares by the Company in the manner contemplated herein, which will be filed on a timely basis, and (d) the filing of the registration statement required to be filed by the Registration Rights Agreement, or (e) such that the failure of which to obtain would not reasonably be expected to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or furnished to, the SEC (or, if amended or superseded by a filing prior to the date of this Agreement, then on the date of such filing), each of the filed SEC Reports complied in all material respects with the applicable requirements of the Exchange Act, and, as of the time they were filed or furnished,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material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consolidated financial statements of the Company included in the SEC Reports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hAnsi="Times New Roman"/>
          <w:b/>
          <w:sz w:val="20"/>
        </w:rPr>
        <w:t>GAAP</w:t>
      </w:r>
      <w:r>
        <w:rPr>
          <w:rFonts w:ascii="Times New Roman" w:hAnsi="Times New Roman"/>
          <w:sz w:val="20"/>
        </w:rPr>
        <w:t xml:space="preserve">”)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Since March 31, 2026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hAnsi="Times New Roman"/>
          <w:sz w:val="20"/>
          <w:u w:val="single"/>
        </w:rPr>
        <w:t>Section 3.9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provided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is not disproportionately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epidemics or similar health emergencies, and other force majeure events in the United States or any other location, provided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(vi) material changes in laws after the date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Except as disclosed in the SEC Reports,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Since the filing of the Company’s most recent Quarterly Report on Form 10-Q, to the knowledge of the Company, there have been no developments with respect to any litigation or legal proceeding previously disclosed therein that, individually or in the aggregate, the Company reasonably believes would materially impact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The Company and its subsidiaries possess, and are in material compliance with the terms of, such valid and current certificates, authorizations, exemptions, clearances, approvals, registrations or permits issued by state, federal or foreign governmental or regulatory agencies or bodies necessary or material to the conduct of their respective businesses as currently conducted and as described in the SEC Reports (“</w:t>
      </w:r>
      <w:r>
        <w:rPr>
          <w:rFonts w:ascii="Times New Roman" w:hAnsi="Times New Roman"/>
          <w:b/>
          <w:sz w:val="20"/>
        </w:rPr>
        <w:t>Permits</w:t>
      </w:r>
      <w:r>
        <w:rPr>
          <w:rFonts w:ascii="Times New Roman" w:hAnsi="Times New Roman"/>
          <w:sz w:val="20"/>
        </w:rPr>
        <w:t xml:space="preserve">”), except where failure to so possess or be in compliance would not reasonably be expected, individually or in the aggregate, to result in a Material Adverse Effect. Neither the Company nor any of its subsidiaries has received written notice that any governmental authority or regulatory agency has taken, is taking or intends to take action to limit, suspend, modify or revoke any such Permit, the Company has no knowledge that any governmental authority or regulatory agency is considering such action, and to the Company’s knowledge, no event has occurred, which allows, or after notice or lapse of time would allow, revocation or termination thereof or results in any other material impairment of the rights of the holder of any such Permit, except in each case, where such limitation, suspension, modification or revocation would not, individually or in the aggregate,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Except as would not reasonably be expected, individually or in the aggregate, to result in a Material Adverse Effect, the Company and its subsidiaries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Times New Roman" w:hAnsi="Times New Roman"/>
          <w:b/>
          <w:sz w:val="20"/>
        </w:rPr>
        <w:t>Intellectual Property</w:t>
      </w:r>
      <w:r>
        <w:rPr>
          <w:rFonts w:ascii="Times New Roman" w:hAnsi="Times New Roman"/>
          <w:sz w:val="20"/>
        </w:rPr>
        <w:t xml:space="preserve">”) necessary for the conduct of the Company and its subsidiaries’ business as now conducted or as proposed in the SEC Reports to be conducted; and except as described in the SEC Reports, (a) there are no rights of third parties to any such Intellectual Property, including no liens, security interests or other encumbrances; (b) to the Company’s knowledge, there is no material infringement by third parties of any such Intellectual Property; (c) there is no pending or, to the Company’s knowledge, threatened action, suit, proceeding or claim by others challenging the Company’s or its subsidiaries’ rights in or to any such Intellectual Property, and the Company is unaware of any facts, which could form a reasonable basis for any such material action, suit, proceeding or claim; (d) such Intellectual Property that is described in the SEC Reports has not been adjudged by a court of competent jurisdiction invalid or unenforceable, in whole or in part; (e) there is no pending or, to the Company’s knowledge, threatened action, suit, proceeding or claim by others challenging the validity or scope of any such Intellectual Property that is owned or licensed by the Company or its subsidiaries, including interferences, oppositions, reexaminations or government proceedings; (f) there is no pending or, to the Company’s knowledge, threatened action, suit, proceeding or claim by others that the Company infringes, misappropriates, or otherwise violates any patent, trademark, copyright, trade secret or other proprietary rights of others; and (g) to the Company’s knowledge, each Company employee involved with the development of Intellectual Property has entered into an invention assignment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b/>
          <w:sz w:val="20"/>
        </w:rPr>
        <w:t>ERISA</w:t>
      </w:r>
      <w:r>
        <w:rPr>
          <w:rFonts w:ascii="Times New Roman" w:hAnsi="Times New Roman"/>
          <w:sz w:val="20"/>
        </w:rPr>
        <w:t>”), whether or not subject thereto) established or maintained by the Company, its subsidiaries or, to the Company’s knowledge, their “ERISA Affiliates” (as defined below) are in compliance in all material respects with ERISA. “</w:t>
      </w:r>
      <w:r>
        <w:rPr>
          <w:rFonts w:ascii="Times New Roman" w:hAnsi="Times New Roman"/>
          <w:b/>
          <w:sz w:val="20"/>
        </w:rPr>
        <w:t>ERISA Affiliate</w:t>
      </w:r>
      <w:r>
        <w:rPr>
          <w:rFonts w:ascii="Times New Roman" w:hAnsi="Times New Roman"/>
          <w:sz w:val="20"/>
        </w:rPr>
        <w:t xml:space="preserve">” means, with respect to the Company or any of its subsidiaries, any member of any group of organizations described in Sections 414(b), (c), (m) or (o) of the Code of which the Company or such subsidiary is a member. No “reportable event” (as defined under ERISA) has occurred or is reasonably expected to occur with respect to any “employee benefit plan” established or maintained by the Company, its subsidiaries or any of their ERISA Affiliates that would reasonably be expected to result in material liability to the Company or its subsidiaries. No “employee benefit plan” established or maintained by the Company, its subsidiaries or any of their ERISA Affiliates, if such “employee benefit plan” were terminated, would have any “amount of unfunded benefit liabilities” (as defined under ERISA) that would reasonably be expected to result in material liability to the Company or its subsidiaries. Neither the Company, its subsidiaries nor any of their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tax qualified is so qualified and, to the Company’s knowledge, nothing has occurred, whether by action or failure to act, which would cause the loss of such qualification.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required federal, state and foreign income and franchise tax returns or have properly requested extensions thereof and have paid all income and other material taxes required to be paid by any of them and, if due and payable, any related or similar assessment, fine or penalty levied against any of them except as may be being contested in good faith and by appropriate proceedings with adequate reserves set aside in accordance with GAAP or to the extent that failure to file or pay would not reasonably be expected, individually or in the aggregate, to result in a Material Adverse Effect. The Company has made adequate charges, accruals and reserves in accordance with GAAP in the applicable financial statements referred to in </w:t>
      </w:r>
      <w:r>
        <w:rPr>
          <w:rFonts w:ascii="Times New Roman" w:hAnsi="Times New Roman"/>
          <w:sz w:val="20"/>
          <w:u w:val="single"/>
        </w:rPr>
        <w:t>Section 3.8(b)</w:t>
      </w:r>
      <w:r>
        <w:rPr>
          <w:rFonts w:ascii="Times New Roman" w:hAnsi="Times New Roman"/>
          <w:sz w:val="20"/>
        </w:rPr>
        <w:t xml:space="preserve"> above in respect of all federal, state and foreign income and franchise taxes for all periods as to which the tax liability of the Company or any of its subsidiaries has not been finally determined, expect to the extent that a failure to do so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Except as would not reasonably be expected, individually or in the aggregate, to result in a Material Adverse Effect: (i) 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The Company and its subsidiaries have good and marketable title to all real properties and all other material properties and assets owned by them, in each case free from liens, encumbrances and defects, except such as would not reasonably be expected, individually or in the aggregate, to result in a Material Adverse Effect; and the Company and its subsidiaries hold any leased real or personal property under valid and enforceable leases with no exceptions, except such as would not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Each of the Company and its subsidiaries are insured by recognized, financially sound and reputable institutions with policies in such amounts and with such deductibles and covering such risks as the Company reasonably believes are generally adequate and customary for their businesses. The Company has no reason to believe that it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Effect. Neither the Company nor any of its subsidiaries has been denied any insurance coverage which it has sought or for which it has applied.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Nasdaq</w:t>
      </w:r>
      <w:r>
        <w:rPr>
          <w:rFonts w:ascii="Times New Roman" w:hAnsi="Times New Roman"/>
          <w:sz w:val="20"/>
        </w:rPr>
        <w:t xml:space="preserve">. The issued and outstanding shares of Common Stock are registered pursuant to Section 12(b) of the Exchange Act and are listed for trading on the Nasdaq Capital Market under the symbol “CUE”. The Company is in compliance in all material respects with all listing requirements of the Nasdaq Capital Market applicable to the Company. As of the date of this Agreement, there is no suit, action, proceeding or investigation pending or, to the knowledge of the Company, threatened against the Company by the Nasdaq Capital Market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Sarbanes-Oxley Act</w:t>
      </w:r>
      <w:r>
        <w:rPr>
          <w:rFonts w:ascii="Times New Roman" w:hAnsi="Times New Roman"/>
          <w:sz w:val="20"/>
        </w:rPr>
        <w:t xml:space="preserve">. The Company is, and since January 1, 2026 has been, in compliance in all material respects with all applicable requirements of the Sarbanes-Oxley Act of 2002 and applicable rules and regulations promulgated by the SEC thereunder.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Clinical Data and Regulatory Compliance</w:t>
      </w:r>
      <w:r>
        <w:rPr>
          <w:rFonts w:ascii="Times New Roman" w:hAnsi="Times New Roman"/>
          <w:sz w:val="20"/>
        </w:rPr>
        <w:t>. The clinical and preclinical studies, tests and trials conducted by or on behalf of or sponsored by the Company or any of its subsidiaries, or in which the Company or its subsidiaries have participated with respect to the Company’s product candidates that are described in, or the results of which are referred to in, the SEC Reports were and, if still pending, are being conducted in all material respects in accordance with all applicable laws, rules, and regulations to which they are subject; each description of the results of such studies, tests or trials is accurate in all material respects, and the Company and its subsidiaries have no knowledge of any other studies, tests or trials, the results of which are inconsistent with, or otherwise call into question, the results described or referred to in the SEC Reports; the Company and its subsidiaries have made all such filings and obtained all such allowances or approvals as may be required by the FDA or any committee thereof or from any other U.S. or foreign government regulatory agency, or health care facility Institutional Review Board (collectively, the “</w:t>
      </w:r>
      <w:r>
        <w:rPr>
          <w:rFonts w:ascii="Times New Roman" w:hAnsi="Times New Roman"/>
          <w:b/>
          <w:sz w:val="20"/>
        </w:rPr>
        <w:t>Regulatory Agencies</w:t>
      </w:r>
      <w:r>
        <w:rPr>
          <w:rFonts w:ascii="Times New Roman" w:hAnsi="Times New Roman"/>
          <w:sz w:val="20"/>
        </w:rPr>
        <w:t xml:space="preserve">”) for the conduct of such studies, tests or trials; neither the Company nor any of its subsidiaries has received any written notice of, or correspondence from, any Regulatory Agency requiring the termination, suspension or modification of any studies, tests or trials, other than ordinary course written communications with respect to modifications in connection with the design and implementation of such tests or trials, and, to the Company’s knowledge, there are no reasonable grounds for the same.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applicable Health Care Laws. For purposes of this Agreement, “</w:t>
      </w:r>
      <w:r>
        <w:rPr>
          <w:rFonts w:ascii="Times New Roman" w:hAnsi="Times New Roman"/>
          <w:b/>
          <w:sz w:val="20"/>
        </w:rPr>
        <w:t>Health Care Laws</w:t>
      </w:r>
      <w:r>
        <w:rPr>
          <w:rFonts w:ascii="Times New Roman" w:hAnsi="Times New Roman"/>
          <w:sz w:val="20"/>
        </w:rPr>
        <w:t xml:space="preserve">” means: (i) the Federal Food, Drug, and Cosmetic Act (21 U.S.C. Section 301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Sections 286, 287, 1349 and the health care fraud criminal provisions under the U.S. Health Insurance Portability and Accountability Act of 1996 (“</w:t>
      </w:r>
      <w:r>
        <w:rPr>
          <w:rFonts w:ascii="Times New Roman" w:hAnsi="Times New Roman"/>
          <w:b/>
          <w:sz w:val="20"/>
        </w:rPr>
        <w:t>HIPAA</w:t>
      </w:r>
      <w:r>
        <w:rPr>
          <w:rFonts w:ascii="Times New Roman" w:hAnsi="Times New Roman"/>
          <w:sz w:val="20"/>
        </w:rPr>
        <w:t xml:space="preserve">”) (42 U.S.C. Section 1320d et seq.),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Accounting Controls and Disclosure Controls and Procedures</w:t>
      </w:r>
      <w:r>
        <w:rPr>
          <w:rFonts w:ascii="Times New Roman" w:hAnsi="Times New Roman"/>
          <w:sz w:val="20"/>
        </w:rPr>
        <w:t xml:space="preserve">.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and (ii) are effective in all material respects to perform the functions for which they were established. Since the end of the Company’s most recent audited fiscal year, there have been no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 Nothing in this Section 3.22 requires the Company to comply with Section 404 of the Sarbanes Oxley Act of 2002 as of an earlier date than it would otherwise be required to so comply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or the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the Nasdaq Capital Market. Assuming the accuracy of the representations and warranties of the Investors set forth in </w:t>
      </w:r>
      <w:r>
        <w:rPr>
          <w:rFonts w:ascii="Times New Roman" w:hAnsi="Times New Roman"/>
          <w:sz w:val="20"/>
          <w:u w:val="single"/>
        </w:rPr>
        <w:t>Section 4</w:t>
      </w:r>
      <w:r>
        <w:rPr>
          <w:rFonts w:ascii="Times New Roman" w:hAnsi="Times New Roman"/>
          <w:sz w:val="20"/>
        </w:rPr>
        <w:t xml:space="preserve">, neither the Company, any of its Affiliates, its subsidiaries nor any Person acting on their behalf has, directly or indirectly, at any time within the past six (6) months,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Section 3.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No Disqualification Events</w:t>
      </w:r>
      <w:r>
        <w:rPr>
          <w:rFonts w:ascii="Times New Roman" w:hAnsi="Times New Roman"/>
          <w:sz w:val="20"/>
        </w:rPr>
        <w:t>. Neither the Company nor, to the knowledge of the Company, any of its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 (each, an “</w:t>
      </w:r>
      <w:r>
        <w:rPr>
          <w:rFonts w:ascii="Times New Roman" w:hAnsi="Times New Roman"/>
          <w:b/>
          <w:sz w:val="20"/>
        </w:rPr>
        <w:t>Issuer Covered Person</w:t>
      </w:r>
      <w:r>
        <w:rPr>
          <w:rFonts w:ascii="Times New Roman" w:hAnsi="Times New Roman"/>
          <w:sz w:val="20"/>
        </w:rPr>
        <w:t>” and, together, “</w:t>
      </w:r>
      <w:r>
        <w:rPr>
          <w:rFonts w:ascii="Times New Roman" w:hAnsi="Times New Roman"/>
          <w:b/>
          <w:sz w:val="20"/>
        </w:rPr>
        <w:t>Issuer Covered Persons</w:t>
      </w:r>
      <w:r>
        <w:rPr>
          <w:rFonts w:ascii="Times New Roman" w:hAnsi="Times New Roman"/>
          <w:sz w:val="20"/>
        </w:rPr>
        <w:t>”) is subject to the disqualification provisions of Rule 506(d)(1)(i-viii) of Regulation D under the Securities Act (a “</w:t>
      </w:r>
      <w:r>
        <w:rPr>
          <w:rFonts w:ascii="Times New Roman" w:hAnsi="Times New Roman"/>
          <w:b/>
          <w:sz w:val="20"/>
        </w:rPr>
        <w:t>Disqualification Event</w:t>
      </w:r>
      <w:r>
        <w:rPr>
          <w:rFonts w:ascii="Times New Roman" w:hAnsi="Times New Roman"/>
          <w:sz w:val="20"/>
        </w:rPr>
        <w:t xml:space="preserve">”), except for a Disqualification Event as to which Rule 506(d)(2) or (d)(3),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 xml:space="preserve">Other Covered Persons. </w:t>
      </w:r>
      <w:r>
        <w:rPr>
          <w:rFonts w:ascii="Times New Roman" w:hAnsi="Times New Roman"/>
          <w:sz w:val="20"/>
        </w:rPr>
        <w:t xml:space="preserve">The Company is not aware of any person (other than any Issuer Covered Person) that has been or will be paid (directly or indirectly) remuneration for solicitation of purchasers in connection with the sale of any of the Securities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and any Investor with respect to the transactions contemplated by the Transaction Agreements other than as specified in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Anti-Bribery and Anti-Money Laundering Laws</w:t>
      </w:r>
      <w:r>
        <w:rPr>
          <w:rFonts w:ascii="Times New Roman" w:hAnsi="Times New Roman"/>
          <w:sz w:val="20"/>
        </w:rPr>
        <w:t>. Neither the Company nor any of its subsidiaries nor to the knowledge of the Company, any director, officer, employee,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hAnsi="Times New Roman"/>
          <w:b/>
          <w:sz w:val="20"/>
        </w:rPr>
        <w:t>FCPA</w:t>
      </w:r>
      <w:r>
        <w:rPr>
          <w:rFonts w:ascii="Times New Roman" w:hAnsi="Times New Roman"/>
          <w:sz w:val="20"/>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reasonably designed to ensure, and which are reasonably expected to continue to ensure, continued compliance therewith</w:t>
      </w:r>
      <w:r>
        <w:rPr>
          <w:rFonts w:ascii="Times New Roman" w:hAnsi="Times New Roman"/>
          <w:sz w:val="20"/>
          <w:u w:val="single"/>
        </w:rPr>
        <w:t xml:space="preserve">. </w:t>
      </w:r>
      <w:r>
        <w:rPr>
          <w:rFonts w:ascii="Times New Roman" w:hAnsi="Times New Roman"/>
          <w:sz w:val="20"/>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Cybersecurity</w:t>
      </w:r>
      <w:r>
        <w:rPr>
          <w:rFonts w:ascii="Times New Roman" w:hAnsi="Times New Roman"/>
          <w:sz w:val="20"/>
        </w:rPr>
        <w:t>. (i)(A) There has been no security breach or other compromise of or relating to any of the Company’s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b/>
          <w:sz w:val="20"/>
        </w:rPr>
        <w:t>IT Systems and Data</w:t>
      </w:r>
      <w:r>
        <w:rPr>
          <w:rFonts w:ascii="Times New Roman" w:hAnsi="Times New Roman"/>
          <w:sz w:val="20"/>
        </w:rPr>
        <w:t xml:space="preserve">”) and (B) the Company has not been notified of, and has no knowledge of any event or condition that would reasonably be expected to result in, any security breach or other compromise to their IT Systems and Data, except as would not,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of this clause (i), reasonably be expected, individually or in the aggregate, to result in a Material Adverse Effect; (ii)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reasonably be expected, individually or in the aggregate, to result in a Material Adverse Effect; and (iii) the Company has implemented backup and disaster recovery technology the Company reasonably believes are consistent with industry standards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3.33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or any of its subsidiaries, on the one hand, and the directors, officers, stockholders, customers or suppliers of the Company, on the other hand, that is required to be described in the SEC Reports that is not so described.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of this Agreement and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The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reasonably be expected to materially delay or hinder the ability of the Investor to perform its obligations under the Transaction Agreements (such delay or hindrance, a “</w:t>
      </w:r>
      <w:r>
        <w:rPr>
          <w:rFonts w:ascii="Times New Roman" w:hAnsi="Times New Roman"/>
          <w:b/>
          <w:sz w:val="20"/>
        </w:rPr>
        <w:t>Investor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Consents</w:t>
      </w:r>
      <w:r>
        <w:rPr>
          <w:rFonts w:ascii="Times New Roman" w:hAnsi="Times New Roman"/>
          <w:sz w:val="20"/>
        </w:rPr>
        <w:t xml:space="preserve">. All consents, approvals, orders and authorizations required on the part of such Investor in connection with the execution, delivery or performance of this Agreement, the issuance of the Securities and the consummation of the other transactions contemplated herein have been obtained or made, other than such consents, approvals, orders and authorizations the failure of which to make or obtain, individually or in the aggregate, would not reasonably be expected to have an Investor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Residency</w:t>
      </w:r>
      <w:r>
        <w:rPr>
          <w:rFonts w:ascii="Times New Roman" w:hAnsi="Times New Roman"/>
          <w:sz w:val="20"/>
        </w:rPr>
        <w:t>. The Investor’s residence (if an individual) or offices in which its investment decision with respect to the Securities was made (if an entity) are located at the address immediately below the Investor’s name on the pertinent signature page of this Agreement, except as otherwise communicated by the Investor to the Company. If any Investor is not a United States person (as defined by Section 7701(a)(30) of the Code) or is a U.S. subsidiary or affiliate of a foreign parent company (a “</w:t>
      </w:r>
      <w:r>
        <w:rPr>
          <w:rFonts w:ascii="Times New Roman" w:hAnsi="Times New Roman"/>
          <w:b/>
          <w:sz w:val="20"/>
        </w:rPr>
        <w:t>Foreign Purchaser</w:t>
      </w:r>
      <w:r>
        <w:rPr>
          <w:rFonts w:ascii="Times New Roman" w:hAnsi="Times New Roman"/>
          <w:sz w:val="20"/>
        </w:rPr>
        <w:t xml:space="preserve">”), each such Foreign Purchaser hereby represents that it has satisfied itself as to the full observance of the laws of its jurisdiction in connection with any invitation to subscribe for the Securities or the Warrant Shares or any use of this Agreement, including (a) the legal requirements within its jurisdiction for the purchase of the Securities or the Warrant Shares, (b) any foreign exchange restrictions applicable to such purchase, (c) any government or other consents that may need to be obtained, and (d) the income tax and other tax consequences, if any, that may be relevant to the purchase, holding, redemption, sale or transfer of the Securities or the Warrant Shares. Each Foreign Purchaser further represents that either (i) it does not now, nor will it after the Closing, hold 10% or greater, directly or indirectly, of the voting interest in the Company or (ii) if it does or will, such Foreign Purchaser shall notify the Company and shall provide such information as the Company may reasonably request to comply with state, federal, or local regulations. The Company’s offer and sale and the Foreign Purchaser’s subscription and payment for and continued beneficial ownership of the Securities or the Warrant Shares will not violate any applicable securities or other laws of the Foreign Purchaser’s jurisdiction.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Brokers and Finders</w:t>
      </w:r>
      <w:r>
        <w:rPr>
          <w:rFonts w:ascii="Times New Roman" w:hAnsi="Times New Roman"/>
          <w:sz w:val="20"/>
        </w:rPr>
        <w:t xml:space="preserve">. The Investor has not retained, utilized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Investment Representations and Warranties</w:t>
      </w:r>
      <w:r>
        <w:rPr>
          <w:rFonts w:ascii="Times New Roman" w:hAnsi="Times New Roman"/>
          <w:sz w:val="20"/>
        </w:rPr>
        <w:t xml:space="preserve">.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Such Investor has executed and delivered to the Company a questionnaire in substantially the form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sz w:val="20"/>
        </w:rPr>
        <w:t xml:space="preserve">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Questionnaire</w:t>
      </w:r>
      <w:r>
        <w:rPr>
          <w:rFonts w:ascii="Times New Roman" w:hAnsi="Times New Roman"/>
          <w:sz w:val="20"/>
        </w:rPr>
        <w:t xml:space="preserve">”), which such Investor represents and warrants is true, correct and complete. Such investor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Intent</w:t>
      </w:r>
      <w:r>
        <w:rPr>
          <w:rFonts w:ascii="Times New Roman" w:hAnsi="Times New Roman"/>
          <w:sz w:val="20"/>
        </w:rPr>
        <w:t xml:space="preserve">. The Investor is (i) purchasing the Securities and (ii) upon exercise of the Pre-Funded Warrants, will acquire the Warrant Shares issuable upon exercise of the Pre-Funded Warrants,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and Warrant Shares in compliance with applicable federal and state securities laws. Notwithstanding the foregoing, if the Investor is purchasing the Securities or acquiring the Warrant Shares issuable upon exercise of the Pre-Funded Warrants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or the Warrant Shares to or through any person or entity. The Investor understands that the Securities or the Warrant Shares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or the Warrant Shares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Independent Investment Decision</w:t>
      </w:r>
      <w:r>
        <w:rPr>
          <w:rFonts w:ascii="Times New Roman" w:hAnsi="Times New Roman"/>
          <w:sz w:val="20"/>
        </w:rPr>
        <w:t xml:space="preserve">.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Securities Not Registered; Legends</w:t>
      </w:r>
      <w:r>
        <w:rPr>
          <w:rFonts w:ascii="Times New Roman" w:hAnsi="Times New Roman"/>
          <w:sz w:val="20"/>
        </w:rPr>
        <w:t xml:space="preserve">. The Investor acknowledges and agrees that the Securities are being offered in a transaction not involving any public offering within the meaning of the Securities Act, and the Investor understands that the Securities are “restricted securities” and have not been registered under the Securities Act, by reason of their issuance by the Company in a transaction exempt from the registration requirements of the Securities Act, and that the Securities and Warrant Shares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or Warrant Shares. The Investor acknowledges that no federal or state agency has passed upon or endorsed the merits of the offering of the Securities or Warrant Shares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Investor understands that any certificates or book entry notations evidencing the Securities and Warrant Shares may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Securities and Warrant Shares may contain a legend regarding affiliate status of the Investor, if applicable.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No General Solicitation</w:t>
      </w:r>
      <w:r>
        <w:rPr>
          <w:rFonts w:ascii="Times New Roman" w:hAnsi="Times New Roman"/>
          <w:sz w:val="20"/>
        </w:rPr>
        <w:t xml:space="preserve">. The Investor acknowledges and agrees that the Investor is purchasing the Securities directly from the Company. Investor became aware of this offering of the Securities solely by means of direct contact from the Company as a result of a pre-existing, substantive relationship with the Company, and/or its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and/or its representatives. Investor did not become aware of this offering of the Securities, nor were the Securities offered to Investor, by any other means, and none of the Company and/or its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Access to Information</w:t>
      </w:r>
      <w:r>
        <w:rPr>
          <w:rFonts w:ascii="Times New Roman" w:hAnsi="Times New Roman"/>
          <w:sz w:val="20"/>
        </w:rPr>
        <w:t xml:space="preserve">. In making its decision to purchase the Securities, such Investor has relied solely upon independent investigation made by such Investor, upon the SEC Reports and upon the representations, warranties and covenants set forth herein. Without limiting the generality of the foregoing, the Investor acknowledges that copies of the SEC Reports are available on EDGAR at </w:t>
      </w:r>
      <w:r>
        <w:rPr>
          <w:rFonts w:ascii="Times New Roman" w:hAnsi="Times New Roman"/>
          <w:sz w:val="20"/>
          <w:u w:val="single"/>
        </w:rPr>
        <w:t>www.sec.gov</w:t>
      </w:r>
      <w:r>
        <w:rPr>
          <w:rFonts w:ascii="Times New Roman" w:hAnsi="Times New Roman"/>
          <w:sz w:val="20"/>
        </w:rPr>
        <w:t xml:space="preserve">.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Beneficial Ownership Limitation</w:t>
      </w:r>
      <w:r>
        <w:rPr>
          <w:rFonts w:ascii="Times New Roman" w:hAnsi="Times New Roman"/>
          <w:sz w:val="20"/>
        </w:rPr>
        <w:t xml:space="preserve">. Notwithstanding anything to the contrary herein, the Investor understands that no Investor (individually, or together with any other Person with whom such Investor has identified, or will have identified, itself as part of a “group” in a public filing made with the SEC involving the Company’s securities) shall have the right to exercise any Securities if at the time of such exercise, such exercise would exceed the then-current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Disqualification Event</w:t>
      </w:r>
      <w:r>
        <w:rPr>
          <w:rFonts w:ascii="Times New Roman" w:hAnsi="Times New Roman"/>
          <w:sz w:val="20"/>
        </w:rPr>
        <w:t>. To the extent the Investor is one of the covered persons identified in Rule 506(d)(1), the Investor represents that no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Section, “</w:t>
      </w:r>
      <w:r>
        <w:rPr>
          <w:rFonts w:ascii="Times New Roman" w:hAnsi="Times New Roman"/>
          <w:b/>
          <w:sz w:val="20"/>
        </w:rPr>
        <w:t>Rule 506(d) Related Party</w:t>
      </w:r>
      <w:r>
        <w:rPr>
          <w:rFonts w:ascii="Times New Roman" w:hAnsi="Times New Roman"/>
          <w:sz w:val="20"/>
        </w:rPr>
        <w:t xml:space="preserve">” means a person or entity that is a beneficial owner of the Investor’s securities for purposes of Rule 506(d)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No Intent to Effect a Change of Control</w:t>
      </w:r>
      <w:r>
        <w:rPr>
          <w:rFonts w:ascii="Times New Roman" w:hAnsi="Times New Roman"/>
          <w:sz w:val="20"/>
        </w:rPr>
        <w:t xml:space="preserve">. Such Investor has no present intent to effect a “change of control” of the Company as such term is understood under the rules promulgated pursuant to Section 13(d)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No Reliance</w:t>
      </w:r>
      <w:r>
        <w:rPr>
          <w:rFonts w:ascii="Times New Roman" w:hAnsi="Times New Roman"/>
          <w:sz w:val="20"/>
        </w:rPr>
        <w:t xml:space="preserve">. The Investor further acknowledges that there have not been and the Investor hereby agrees that it is not relying on and has not relied on, any statements, representations, warranties, covenants or agreements made to the Investor by or on behalf of the Company, any of its Affiliates or any control persons, officers, directors, employees, partners, agents or representatives of any of the foregoing or any other person or entity, expressly or by implication, other than the SEC Reports and those representations, warranties and covenants of the Company expressly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Bad Actor Status</w:t>
      </w:r>
      <w:r>
        <w:rPr>
          <w:rFonts w:ascii="Times New Roman" w:hAnsi="Times New Roman"/>
          <w:sz w:val="20"/>
        </w:rPr>
        <w:t xml:space="preserve">. If the Investor is a person listed in the first paragraph of Rule 506(d)(1) with respect to the Company as an “issuer” for purposes of Rule 506 promulgated under the Securities Act, such Investor represents that such Investor is not a person of the type described in Section 506(d) of Regulation D under the Securities Act that would disqualify the Company from engaging in a transaction pursuant to Section 506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of this Agreement are no longer accurate.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xml:space="preserve">. The Company shall use commercially reasonable efforts to maintain the listing and trading of its Common Stock on the Nasdaq Capital Market and, in accordance therewith, will use commercially reasonable best efforts to comply in all material respects with the Company’s reporting, filing and other obligations under the rules and regulations of the Nasdaq Capital Market.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of this Agreement, issue a press release and/or file with the SEC a Current Report on Form 8-K (including, if applicable, all exhibits thereto, the “</w:t>
      </w:r>
      <w:r>
        <w:rPr>
          <w:rFonts w:ascii="Times New Roman" w:hAnsi="Times New Roman"/>
          <w:b/>
          <w:sz w:val="20"/>
        </w:rPr>
        <w:t>Disclosure Document</w:t>
      </w:r>
      <w:r>
        <w:rPr>
          <w:rFonts w:ascii="Times New Roman" w:hAnsi="Times New Roman"/>
          <w:sz w:val="20"/>
        </w:rPr>
        <w:t xml:space="preserve">”) disclosing all material terms of the transactions contemplated hereby and by the other Transaction Agreements and, if the Disclosure Document is a Current Report on Form 8-K, attaching this Agreement and the other Transaction Agreements as exhibits to such Disclosure Document. Notwithstanding anything in this Agreement to the contrary, the Company shall not publicly disclose the name of any Investor or any of its Affiliates or advisors, or include the name of any Investor or any of its Affiliates or advisors in any press release or filing with the SEC (other than any registration statement contemplated by the Registration Rights Agreement) or any regulatory agency, without the prior written consent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or Warrant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within two (2) Business Days of following any such request therefor from the Investor, request the Transfer Agent to remove any restrictive legends related to the book entry account holding such shares and make a new, unlegended entry for such book entry shares sold or disposed of without restrictive legends,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Shares or Warrant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hAnsi="Times New Roman"/>
          <w:sz w:val="20"/>
          <w:u w:val="single"/>
        </w:rPr>
        <w:t>Section 5.5(b)</w:t>
      </w:r>
      <w:r>
        <w:rPr>
          <w:rFonts w:ascii="Times New Roman" w:hAnsi="Times New Roman"/>
          <w:sz w:val="20"/>
        </w:rPr>
        <w:t xml:space="preserve"> and within two (2) Business Days of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for all such amounts as they are incurred by such Person solely to the extent such amounts have been finally judicially determined not to have resulted from such Person’s fraud, gross negligence willful misconduct or malfeasance.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in which case the Company shall be responsible for the reasonable fees and expenses of no more than one such separate counsel.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Reservation of Common Stock</w:t>
      </w:r>
      <w:r>
        <w:rPr>
          <w:rFonts w:ascii="Times New Roman" w:hAnsi="Times New Roman"/>
          <w:sz w:val="20"/>
        </w:rPr>
        <w:t xml:space="preserve">. As of the date of this Agreement, the Company has reserved and the Company shall continue to reserve and keep available at all times, free of preemptive rights, a sufficient number of shares of Common Stock for the purpose of enabling the Company to issue the Warrant Shares that are issuable upon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Adverse Changes</w:t>
      </w:r>
      <w:r>
        <w:rPr>
          <w:rFonts w:ascii="Times New Roman" w:hAnsi="Times New Roman"/>
          <w:sz w:val="20"/>
        </w:rPr>
        <w:t xml:space="preserve">. Since the date of this Agreement, no event or series of events shall have occurred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Opinion of Counsel</w:t>
      </w:r>
      <w:r>
        <w:rPr>
          <w:rFonts w:ascii="Times New Roman" w:hAnsi="Times New Roman"/>
          <w:sz w:val="20"/>
        </w:rPr>
        <w:t xml:space="preserve">. The Company shall have delivered to the Investors the opinion of Cooley LLP, dated as of the Closing Date, in customary form and substance to be reasonably agreed upon with the Investors and addressing such legal matters as the Investors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 (Representations and Warranties)</w:t>
      </w:r>
      <w:r>
        <w:rPr>
          <w:rFonts w:ascii="Times New Roman" w:hAnsi="Times New Roman"/>
          <w:sz w:val="20"/>
        </w:rPr>
        <w:t xml:space="preserve">, </w:t>
      </w:r>
      <w:r>
        <w:rPr>
          <w:rFonts w:ascii="Times New Roman" w:hAnsi="Times New Roman"/>
          <w:sz w:val="20"/>
          <w:u w:val="single"/>
        </w:rPr>
        <w:t>6.1(b) (Performance)</w:t>
      </w:r>
      <w:r>
        <w:rPr>
          <w:rFonts w:ascii="Times New Roman" w:hAnsi="Times New Roman"/>
          <w:sz w:val="20"/>
        </w:rPr>
        <w:t xml:space="preserve">, </w:t>
      </w:r>
      <w:r>
        <w:rPr>
          <w:rFonts w:ascii="Times New Roman" w:hAnsi="Times New Roman"/>
          <w:sz w:val="20"/>
          <w:u w:val="single"/>
        </w:rPr>
        <w:t>6.1(c) (No Injunction)</w:t>
      </w:r>
      <w:r>
        <w:rPr>
          <w:rFonts w:ascii="Times New Roman" w:hAnsi="Times New Roman"/>
          <w:sz w:val="20"/>
        </w:rPr>
        <w:t xml:space="preserve">, </w:t>
      </w:r>
      <w:r>
        <w:rPr>
          <w:rFonts w:ascii="Times New Roman" w:hAnsi="Times New Roman"/>
          <w:sz w:val="20"/>
          <w:u w:val="single"/>
        </w:rPr>
        <w:t>6.1(d) (Consents)</w:t>
      </w:r>
      <w:r>
        <w:rPr>
          <w:rFonts w:ascii="Times New Roman" w:hAnsi="Times New Roman"/>
          <w:sz w:val="20"/>
        </w:rPr>
        <w:t xml:space="preserve">, </w:t>
      </w:r>
      <w:r>
        <w:rPr>
          <w:rFonts w:ascii="Times New Roman" w:hAnsi="Times New Roman"/>
          <w:sz w:val="20"/>
          <w:u w:val="single"/>
        </w:rPr>
        <w:t>6.1(e) (Adverse Changes)</w:t>
      </w:r>
      <w:r>
        <w:rPr>
          <w:rFonts w:ascii="Times New Roman" w:hAnsi="Times New Roman"/>
          <w:sz w:val="20"/>
        </w:rPr>
        <w:t xml:space="preserve">, and </w:t>
      </w:r>
      <w:r>
        <w:rPr>
          <w:rFonts w:ascii="Times New Roman" w:hAnsi="Times New Roman"/>
          <w:sz w:val="20"/>
          <w:u w:val="single"/>
        </w:rPr>
        <w:t>6.1(j) (Listing Requirements)</w:t>
      </w:r>
      <w:r>
        <w:rPr>
          <w:rFonts w:ascii="Times New Roman" w:hAnsi="Times New Roman"/>
          <w:sz w:val="20"/>
        </w:rPr>
        <w:t xml:space="preserve"> of this Agreement have been fulfilled.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Listing Requirements</w:t>
      </w:r>
      <w:r>
        <w:rPr>
          <w:rFonts w:ascii="Times New Roman" w:hAnsi="Times New Roman"/>
          <w:sz w:val="20"/>
        </w:rPr>
        <w:t xml:space="preserve">. No stop order or suspension of trading shall have been imposed by the Nasdaq Capital Market,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the Nasdaq Capital Market a Listing of Additional Shares notification for the listing of the Shares and the Warrant Shares and the Nasdaq Capital Market shall have raised no objection to such notice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Payment</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other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such Investor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the Investors, on the other hand, to effect the Closing shall terminate as follows: </w:t>
      </w:r>
    </w:p>
    <w:p>
      <w:pPr>
        <w:pStyle w:val="TextBody"/>
        <w:bidi w:val="0"/>
        <w:spacing w:before="120" w:after="0"/>
        <w:jc w:val="left"/>
        <w:rPr>
          <w:rFonts w:ascii="Times New Roman" w:hAnsi="Times New Roman"/>
          <w:sz w:val="20"/>
        </w:rPr>
      </w:pPr>
      <w:r>
        <w:rPr>
          <w:rFonts w:ascii="Times New Roman" w:hAnsi="Times New Roman"/>
          <w:sz w:val="20"/>
        </w:rPr>
        <w:t xml:space="preserve">(i) Upon the mutual written consent of the Company and the Investors that agreed to purchase a majority of the Securities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(with respect to itself only)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by the Company or the Investor of its obligations to effect the Closing pursuant to </w:t>
      </w:r>
      <w:r>
        <w:rPr>
          <w:rFonts w:ascii="Times New Roman" w:hAnsi="Times New Roman"/>
          <w:sz w:val="20"/>
          <w:u w:val="single"/>
        </w:rPr>
        <w:t>Section 7.1</w:t>
      </w:r>
      <w:r>
        <w:rPr>
          <w:rFonts w:ascii="Times New Roman" w:hAnsi="Times New Roman"/>
          <w:sz w:val="20"/>
        </w:rPr>
        <w:t xml:space="preserve">, written notice thereof shall be given to the other Investors by the Company.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 w:hAnsi="Times New Roman"/>
          <w:sz w:val="20"/>
          <w:u w:val="single"/>
        </w:rPr>
        <w:t>Section 5.3</w:t>
      </w:r>
      <w:r>
        <w:rPr>
          <w:rFonts w:ascii="Times New Roman" w:hAnsi="Times New Roman"/>
          <w:sz w:val="20"/>
        </w:rPr>
        <w:t xml:space="preserve">, nothing in this </w:t>
      </w:r>
      <w:r>
        <w:rPr>
          <w:rFonts w:ascii="Times New Roman" w:hAnsi="Times New Roman"/>
          <w:sz w:val="20"/>
          <w:u w:val="single"/>
        </w:rPr>
        <w:t>Section 8.1</w:t>
      </w:r>
      <w:r>
        <w:rPr>
          <w:rFonts w:ascii="Times New Roman" w:hAnsi="Times New Roman"/>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Section 8.1, Investor review shall not be required for Company disclosures that are substantially consistent with prior Company disclosures.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40 Guest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02135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Chief Legal &amp; </w:t>
      </w:r>
    </w:p>
    <w:p>
      <w:pPr>
        <w:pStyle w:val="TextBody"/>
        <w:bidi w:val="0"/>
        <w:spacing w:before="0" w:after="0"/>
        <w:jc w:val="left"/>
        <w:rPr>
          <w:rFonts w:ascii="Times New Roman" w:hAnsi="Times New Roman"/>
          <w:sz w:val="20"/>
        </w:rPr>
      </w:pPr>
      <w:r>
        <w:rPr>
          <w:rFonts w:ascii="Times New Roman" w:hAnsi="Times New Roman"/>
          <w:sz w:val="20"/>
        </w:rPr>
        <w:t xml:space="preserve">Compliance Officer and 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left"/>
        <w:rPr>
          <w:rFonts w:ascii="Times New Roman" w:hAnsi="Times New Roman"/>
          <w:sz w:val="20"/>
        </w:rPr>
      </w:pPr>
      <w:r>
        <w:rPr>
          <w:rFonts w:ascii="Times New Roman" w:hAnsi="Times New Roman"/>
          <w:sz w:val="20"/>
        </w:rPr>
        <w:t xml:space="preserve">Attention: Divakar Gupta, Courtney Tygesson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or e-mail address set forth on </w:t>
      </w:r>
      <w:r>
        <w:rPr>
          <w:rFonts w:ascii="Times New Roman" w:hAnsi="Times New Roman"/>
          <w:sz w:val="20"/>
          <w:u w:val="single"/>
        </w:rPr>
        <w:t>Exhibit A</w:t>
      </w:r>
      <w:r>
        <w:rPr>
          <w:rFonts w:ascii="Times New Roman" w:hAnsi="Times New Roman"/>
          <w:sz w:val="20"/>
        </w:rPr>
        <w:t xml:space="preserve">, or such address as subsequently modified by written notice given in accordance with this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Consent to Electronic Notice</w:t>
      </w:r>
      <w:r>
        <w:rPr>
          <w:rFonts w:ascii="Times New Roman" w:hAnsi="Times New Roman"/>
          <w:sz w:val="20"/>
        </w:rPr>
        <w:t>. Each Investor consents to the delivery of any stockholder notice pursuant to Section 232 of the Delaware General Corporation Law, as amended or superseded from time to time, by electronic mail (the “</w:t>
      </w:r>
      <w:r>
        <w:rPr>
          <w:rFonts w:ascii="Times New Roman" w:hAnsi="Times New Roman"/>
          <w:b/>
          <w:sz w:val="20"/>
        </w:rPr>
        <w:t>DGCL</w:t>
      </w:r>
      <w:r>
        <w:rPr>
          <w:rFonts w:ascii="Times New Roman" w:hAnsi="Times New Roman"/>
          <w:sz w:val="20"/>
        </w:rPr>
        <w:t xml:space="preserve">”),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8.2</w:t>
      </w:r>
      <w:r>
        <w:rPr>
          <w:rFonts w:ascii="Times New Roman" w:hAnsi="Times New Roman"/>
          <w:sz w:val="20"/>
        </w:rPr>
        <w:t xml:space="preserve">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the Nasdaq Capital Market. The Investor acknowledges that the Company may file a copy of this Agreement and the Registration Rights Agreement with the SEC as exhibit to a periodic report or a registration statement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the Indemnified Persons are intended third-party beneficiaries of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Cooley LLP has rendered legal advice to the Company and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Entire Agreement; Amendments</w:t>
      </w:r>
      <w:r>
        <w:rPr>
          <w:rFonts w:ascii="Times New Roman" w:hAnsi="Times New Roman"/>
          <w:sz w:val="20"/>
        </w:rPr>
        <w:t xml:space="preserve">.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of at least a majority in interest of the Securities then held by the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of this Agreement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2"/>
        <w:gridCol w:w="60"/>
        <w:gridCol w:w="3640"/>
      </w:tblGrid>
      <w:tr>
        <w:trPr/>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Cue Biopharma, Inc.</w:t>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0" w:type="dxa"/>
            <w:tcBorders>
              <w:bottom w:val="single" w:sz="2" w:space="0" w:color="000000"/>
            </w:tcBorders>
            <w:tcMar>
              <w:bottom w:w="28" w:type="dxa"/>
            </w:tcMar>
          </w:tcPr>
          <w:p>
            <w:pPr>
              <w:pStyle w:val="TableContents"/>
              <w:bidi w:val="0"/>
              <w:spacing w:before="0" w:after="283"/>
              <w:jc w:val="left"/>
              <w:rPr/>
            </w:pPr>
            <w:r>
              <w:rPr/>
              <w:t> </w:t>
            </w:r>
          </w:p>
        </w:tc>
      </w:tr>
      <w:tr>
        <w:trPr/>
        <w:tc>
          <w:tcPr>
            <w:tcW w:w="3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0" w:type="dxa"/>
            <w:tcBorders/>
          </w:tcPr>
          <w:p>
            <w:pPr>
              <w:pStyle w:val="TableContents"/>
              <w:bidi w:val="0"/>
              <w:spacing w:before="0" w:after="0"/>
              <w:jc w:val="left"/>
              <w:rPr>
                <w:rFonts w:ascii="Times New Roman" w:hAnsi="Times New Roman"/>
                <w:sz w:val="20"/>
              </w:rPr>
            </w:pPr>
            <w:r>
              <w:rPr>
                <w:rFonts w:ascii="Times New Roman" w:hAnsi="Times New Roman"/>
                <w:sz w:val="20"/>
              </w:rPr>
              <w:t>Name: Shao-Lee Lin, MD, PhD</w:t>
            </w:r>
          </w:p>
        </w:tc>
      </w:tr>
      <w:tr>
        <w:trPr/>
        <w:tc>
          <w:tcPr>
            <w:tcW w:w="3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0" w:type="dxa"/>
            <w:tcBorders/>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55"/>
        <w:gridCol w:w="98"/>
        <w:gridCol w:w="2729"/>
      </w:tblGrid>
      <w:tr>
        <w:trPr/>
        <w:tc>
          <w:tcPr>
            <w:tcW w:w="12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255" w:type="dxa"/>
            <w:tcBorders/>
            <w:vAlign w:val="center"/>
          </w:tcPr>
          <w:p>
            <w:pPr>
              <w:pStyle w:val="TableContents"/>
              <w:bidi w:val="0"/>
              <w:spacing w:before="0" w:after="283"/>
              <w:jc w:val="left"/>
              <w:rPr>
                <w:sz w:val="4"/>
                <w:szCs w:val="4"/>
              </w:rPr>
            </w:pPr>
            <w:r>
              <w:rPr>
                <w:sz w:val="4"/>
                <w:szCs w:val="4"/>
              </w:rPr>
            </w:r>
          </w:p>
        </w:tc>
        <w:tc>
          <w:tcPr>
            <w:tcW w:w="2827" w:type="dxa"/>
            <w:gridSpan w:val="2"/>
            <w:tcBorders/>
            <w:vAlign w:val="center"/>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98"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left"/>
              <w:rPr>
                <w:sz w:val="4"/>
                <w:szCs w:val="4"/>
              </w:rPr>
            </w:pPr>
            <w:r>
              <w:rPr>
                <w:sz w:val="4"/>
                <w:szCs w:val="4"/>
              </w:rPr>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Email: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p>
    <w:p>
      <w:pPr>
        <w:pStyle w:val="TextBody"/>
        <w:bidi w:val="0"/>
        <w:spacing w:before="0" w:after="0"/>
        <w:jc w:val="right"/>
        <w:rPr>
          <w:rFonts w:ascii="Times New Roman" w:hAnsi="Times New Roman"/>
          <w:b/>
          <w:sz w:val="20"/>
        </w:rPr>
      </w:pPr>
      <w:bookmarkStart w:id="6" w:name="d123955dex102.htm"/>
      <w:bookmarkStart w:id="7" w:name="ksd123955dex102"/>
      <w:bookmarkEnd w:id="6"/>
      <w:bookmarkEnd w:id="7"/>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THIS REGISTRATION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July 9, 2026, is entered into by and among Cue Biopharma, Inc., a Delaware corporation (the “</w:t>
      </w:r>
      <w:r>
        <w:rPr>
          <w:rFonts w:ascii="Times New Roman" w:hAnsi="Times New Roman"/>
          <w:b/>
          <w:sz w:val="20"/>
        </w:rPr>
        <w:t>Company</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of the Purchase Agreement, the Company has agreed to issue to the Investors, and the Investors have agreed to purchase, severally and not jointly, an aggregate of up to $50,000,000 of (i) shares (the “</w:t>
      </w:r>
      <w:r>
        <w:rPr>
          <w:rFonts w:ascii="Times New Roman" w:hAnsi="Times New Roman"/>
          <w:b/>
          <w:sz w:val="20"/>
        </w:rPr>
        <w:t>Initial Shares</w:t>
      </w:r>
      <w:r>
        <w:rPr>
          <w:rFonts w:ascii="Times New Roman" w:hAnsi="Times New Roman"/>
          <w:sz w:val="20"/>
        </w:rPr>
        <w:t>”) of the Company’s common stock, par value $0.001 per share (the “</w:t>
      </w:r>
      <w:r>
        <w:rPr>
          <w:rFonts w:ascii="Times New Roman" w:hAnsi="Times New Roman"/>
          <w:b/>
          <w:sz w:val="20"/>
        </w:rPr>
        <w:t>Common Stock</w:t>
      </w:r>
      <w:r>
        <w:rPr>
          <w:rFonts w:ascii="Times New Roman" w:hAnsi="Times New Roman"/>
          <w:sz w:val="20"/>
        </w:rPr>
        <w:t>”), and/or (ii) pre-funded warrants to purchase shares of Common Stock (the “</w:t>
      </w:r>
      <w:r>
        <w:rPr>
          <w:rFonts w:ascii="Times New Roman" w:hAnsi="Times New Roman"/>
          <w:b/>
          <w:sz w:val="20"/>
        </w:rPr>
        <w:t>Warrants</w:t>
      </w:r>
      <w:r>
        <w:rPr>
          <w:rFonts w:ascii="Times New Roman" w:hAnsi="Times New Roman"/>
          <w:sz w:val="20"/>
        </w:rPr>
        <w:t>”) to purchase shares of Common Stock, in each case, pursuant to the Purchase Agreement. The Initial Shares and the shares of Common Stock issuable upon exercise of the Warrants, without giving effect to any limitations on exercise of the pre-funded warrants, and assuming all of the pre-funded warrants are exercised for cash, are collectively referred to herein as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promises and the mutual covenants contained herein and other good and valuable consideration, the receipt and sufficiency of which are hereby acknowledged, the Company and the Investors hereby agree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1. 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Prospectus</w:t>
      </w:r>
      <w:r>
        <w:rPr>
          <w:rFonts w:ascii="Times New Roman" w:hAnsi="Times New Roman"/>
          <w:sz w:val="20"/>
        </w:rPr>
        <w:t xml:space="preserve">”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 relating to the terms of the offering of any portion of the Registrable Securities.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b/>
          <w:sz w:val="20"/>
        </w:rPr>
        <w:t>Registrable Securities</w:t>
      </w:r>
      <w:r>
        <w:rPr>
          <w:rFonts w:ascii="Times New Roman" w:hAnsi="Times New Roman"/>
          <w:sz w:val="20"/>
        </w:rPr>
        <w:t xml:space="preserve">” means the Shares and any Common Stock issued or issuable with respect to the Shares as a result of any stock split or subdivision, stock dividend, recapitalization, exchange or similar event. Registrable Securities shall cease to be Registrable Securities upon the termination of the Registration Period.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Required Investors</w:t>
      </w:r>
      <w:r>
        <w:rPr>
          <w:rFonts w:ascii="Times New Roman" w:hAnsi="Times New Roman"/>
          <w:sz w:val="20"/>
        </w:rPr>
        <w:t xml:space="preserve">” means the Investors holding a majority of the Registrable Securities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the Investors’ disposition of the Registrable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2. REGISTRATION.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30 days after the Closing Date (as defined in the Purchase Agreement), prepare and file with the SEC an initial Registration Statement (the “</w:t>
      </w:r>
      <w:r>
        <w:rPr>
          <w:rFonts w:ascii="Times New Roman" w:hAnsi="Times New Roman"/>
          <w:b/>
          <w:sz w:val="20"/>
        </w:rPr>
        <w:t>Initial Registration Statement</w:t>
      </w:r>
      <w:r>
        <w:rPr>
          <w:rFonts w:ascii="Times New Roman" w:hAnsi="Times New Roman"/>
          <w:sz w:val="20"/>
        </w:rPr>
        <w:t xml:space="preserve">”) covering the resale of all Registrable Securities. Before filing the Registration Statement, the Company shall furnish to the Investors a copy of the Registration Statement. The Investors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for the account of any other holder of securities of the Company without the prior written consent of the Required Investors. The Company shall (a) use commercially reasonable efforts to address in each such document prior to being so filed with the SEC such comments as the Investors reasonably propose, and (b) not file any Registration Statement or Prospectus or any amendment or supplement thereto containing information regarding the Investor to which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Initial Registration Statement and any amendment declared effective by the SEC as promptly as possible after the filing thereof, but no later than the earlier of the 60th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it being understood that the period shall be extended by such number of days, if any, following the initial filing date of the Initial Registration Statement, as the SEC is unable to review or declare effective the Registration Statement as a result of a government shutdown.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hAnsi="Times New Roman"/>
          <w:b/>
          <w:sz w:val="20"/>
        </w:rPr>
        <w:t>Registration Period</w:t>
      </w:r>
      <w:r>
        <w:rPr>
          <w:rFonts w:ascii="Times New Roman" w:hAnsi="Times New Roman"/>
          <w:sz w:val="20"/>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xml:space="preserve">”), so as to cover all of such Registrable Securities as soon as reasonably practicable, but in any event not later than ten Business Days after the necessity therefor arises. The Company shall use its reasonable best efforts to have such amendment and/or New Registration Statement become effective as soon as reasonably practicable following the filing thereof but no later than the earlier of (i) the 90th calendar day following the initial filing date of the New Registration Statement if the SEC notifies the Company that it will “review” the New Registration Statement and (ii) the fifth Business Day after the date the Company is notified (orally or in writing, whichever is earlier) by the SEC that the New Registration Statement will not be “reviewed” or will not be subject to further review. The provisions of </w:t>
      </w:r>
      <w:r>
        <w:rPr>
          <w:rFonts w:ascii="Times New Roman" w:hAnsi="Times New Roman"/>
          <w:sz w:val="20"/>
          <w:u w:val="single"/>
        </w:rPr>
        <w:t>Section 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shall apply to the New Registration Statement, except as modified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Allowable Delays.</w:t>
      </w:r>
      <w:r>
        <w:rPr>
          <w:rFonts w:ascii="Times New Roman" w:hAnsi="Times New Roman"/>
          <w:sz w:val="20"/>
        </w:rPr>
        <w:t xml:space="preserve"> On no more than two occasions and for not more than 60 consecutive days or for a total of not more than 120 days in any 12 month period, the Company may delay the effectiveness of the Initial Registration Statement or any other Registration Statement, or suspend the use of any Prospectus, in the event that the Company or Board of Directors determines, in good faith and upon advice of legal counsel, that such delay or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to otherwise comply with the Securities Act or any other law;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shall keep the existence of each Allowed Delay confidential and refrain from making offers and sales of Registrable Securities (and direct any other Persons making such offers and sales to refrain from doing so) during each Allowed Delay under the applicable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Rule 415; Cutback</w:t>
      </w:r>
      <w:r>
        <w:rPr>
          <w:rFonts w:ascii="Times New Roman" w:hAnsi="Times New Roman"/>
          <w:sz w:val="20"/>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review and oversee any registration or matters pursuant to this </w:t>
      </w:r>
      <w:r>
        <w:rPr>
          <w:rFonts w:ascii="Times New Roman" w:hAnsi="Times New Roman"/>
          <w:sz w:val="20"/>
          <w:u w:val="single"/>
        </w:rPr>
        <w:t>Section 2(f)</w:t>
      </w:r>
      <w:r>
        <w:rPr>
          <w:rFonts w:ascii="Times New Roman" w:hAnsi="Times New Roman"/>
          <w:sz w:val="20"/>
        </w:rPr>
        <w:t xml:space="preserve">, including participation in any meetings or discussions with the SEC regarding the SEC’s position and to comment on any written submission made to the SEC with respect thereto. In the event that, despite the Company’s reasonable best efforts and compliance with the terms of this </w:t>
      </w:r>
      <w:r>
        <w:rPr>
          <w:rFonts w:ascii="Times New Roman" w:hAnsi="Times New Roman"/>
          <w:sz w:val="20"/>
          <w:u w:val="single"/>
        </w:rPr>
        <w:t>Section 2(f)</w:t>
      </w:r>
      <w:r>
        <w:rPr>
          <w:rFonts w:ascii="Times New Roman" w:hAnsi="Times New Roman"/>
          <w:sz w:val="20"/>
        </w:rPr>
        <w:t>, the SEC refuses to alter its position, the Company shall (i) remove from such Registration Statement such portion of the Registrable Securities (the “</w:t>
      </w:r>
      <w:r>
        <w:rPr>
          <w:rFonts w:ascii="Times New Roman" w:hAnsi="Times New Roman"/>
          <w:b/>
          <w:sz w:val="20"/>
        </w:rPr>
        <w:t>Cut Back Shares</w:t>
      </w:r>
      <w:r>
        <w:rPr>
          <w:rFonts w:ascii="Times New Roman" w:hAnsi="Times New Roman"/>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2(f)</w:t>
      </w:r>
      <w:r>
        <w:rPr>
          <w:rFonts w:ascii="Times New Roman" w:hAnsi="Times New Roman"/>
          <w:sz w:val="20"/>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w:t>
      </w:r>
    </w:p>
    <w:p>
      <w:pPr>
        <w:pStyle w:val="TextBody"/>
        <w:bidi w:val="0"/>
        <w:spacing w:before="240" w:after="0"/>
        <w:jc w:val="left"/>
        <w:rPr>
          <w:rFonts w:ascii="Times New Roman" w:hAnsi="Times New Roman"/>
          <w:b/>
          <w:sz w:val="20"/>
        </w:rPr>
      </w:pPr>
      <w:r>
        <w:rPr>
          <w:rFonts w:ascii="Times New Roman" w:hAnsi="Times New Roman"/>
          <w:b/>
          <w:sz w:val="20"/>
        </w:rPr>
        <w:t xml:space="preserve">3. RELATED COMPANY OBLIGATIONS.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Initial Registration Statement or any New Registration Statement, other than documents incorporated by reference, has become effective and of any request by the SEC for any amendment or supplement to the Registration Statement, any New Registration Statement or any Prospectus or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hAnsi="Times New Roman"/>
          <w:b/>
          <w:sz w:val="20"/>
        </w:rPr>
        <w:t>Exchange Act</w:t>
      </w:r>
      <w:r>
        <w:rPr>
          <w:rFonts w:ascii="Times New Roman" w:hAnsi="Times New Roman"/>
          <w:sz w:val="20"/>
        </w:rPr>
        <w:t xml:space="preserve">”) with respect to the distribution of all of the Registrable Securities covered thereby, or (b) in the reasonable opinion of the Investors and the Company, as may be necessary or advisable in connection with any acquisition or sale of Registrable Securities by the Investors.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shall have been advised and afforded the opportunity to review and comment thereon at least two (2) Business Days prior to filing with the SEC and (B) the Company shall have given reasonable due consideration to any comments thereon received from the Investors.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of Certain Events</w:t>
      </w:r>
      <w:r>
        <w:rPr>
          <w:rFonts w:ascii="Times New Roman" w:hAnsi="Times New Roman"/>
          <w:sz w:val="20"/>
        </w:rPr>
        <w:t xml:space="preserve">.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the Investors, upon request and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hAnsi="Times New Roman"/>
          <w:sz w:val="20"/>
          <w:u w:val="single"/>
        </w:rPr>
        <w:t>Section 3(e)</w:t>
      </w:r>
      <w:r>
        <w:rPr>
          <w:rFonts w:ascii="Times New Roman" w:hAnsi="Times New Roman"/>
          <w:sz w:val="20"/>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Confirmation of Effectiveness</w:t>
      </w:r>
      <w:r>
        <w:rPr>
          <w:rFonts w:ascii="Times New Roman" w:hAnsi="Times New Roman"/>
          <w:sz w:val="20"/>
        </w:rPr>
        <w:t xml:space="preserve">.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Listing</w:t>
      </w:r>
      <w:r>
        <w:rPr>
          <w:rFonts w:ascii="Times New Roman" w:hAnsi="Times New Roman"/>
          <w:sz w:val="20"/>
        </w:rPr>
        <w:t xml:space="preserve">. The Company shall use commercially reasonable efforts to cause all Registrable Securities covered by a Registration Statement to be listed on the Nasdaq Capital Market or such national securities exchange, automated quotation system or trading market, if any, upon which the Common Stock is then listed.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w:t>
      </w:r>
      <w:r>
        <w:rPr>
          <w:rFonts w:ascii="Times New Roman" w:hAnsi="Times New Roman"/>
          <w:sz w:val="20"/>
        </w:rPr>
        <w:t xml:space="preserve">. The Company shall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an earnings statement satisfying the provisions of Section 11(a)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Blue-Sky</w:t>
      </w:r>
      <w:r>
        <w:rPr>
          <w:rFonts w:ascii="Times New Roman" w:hAnsi="Times New Roman"/>
          <w:sz w:val="20"/>
        </w:rPr>
        <w:t xml:space="preserve">. The Company shall use commercially reasonable efforts to register or qualify or cooperate with the Investor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3(i)</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3(i)</w:t>
      </w:r>
      <w:r>
        <w:rPr>
          <w:rFonts w:ascii="Times New Roman" w:hAnsi="Times New Roman"/>
          <w:sz w:val="20"/>
        </w:rPr>
        <w:t xml:space="preserve">, or (iii) file a general consent to service of process in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subject to receipt of documents reasonably requested by the Company; for the avoidance of doubt, the Company may satisfy its obligations hereunder without issuing physical stock certificates through the use of The Depository Trust Company’s Direct Registration System. </w:t>
      </w:r>
    </w:p>
    <w:p>
      <w:pPr>
        <w:pStyle w:val="TextBody"/>
        <w:bidi w:val="0"/>
        <w:spacing w:before="240" w:after="0"/>
        <w:jc w:val="left"/>
        <w:rPr>
          <w:rFonts w:ascii="Times New Roman" w:hAnsi="Times New Roman"/>
          <w:b/>
          <w:sz w:val="20"/>
        </w:rPr>
      </w:pPr>
      <w:r>
        <w:rPr>
          <w:rFonts w:ascii="Times New Roman" w:hAnsi="Times New Roman"/>
          <w:b/>
          <w:sz w:val="20"/>
        </w:rPr>
        <w:t xml:space="preserve">4. OBLIGATIONS OF THE INVESTORS.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B</w:t>
      </w:r>
      <w:r>
        <w:rPr>
          <w:rFonts w:ascii="Times New Roman" w:hAnsi="Times New Roman"/>
          <w:sz w:val="20"/>
        </w:rPr>
        <w:t xml:space="preserve"> or such other information as reasonably requested by the Company in connection with the registration of the Registrable Securities (such questionnaire or other information, the “</w:t>
      </w:r>
      <w:r>
        <w:rPr>
          <w:rFonts w:ascii="Times New Roman" w:hAnsi="Times New Roman"/>
          <w:b/>
          <w:sz w:val="20"/>
        </w:rPr>
        <w:t>Questionnaire</w:t>
      </w:r>
      <w:r>
        <w:rPr>
          <w:rFonts w:ascii="Times New Roman" w:hAnsi="Times New Roman"/>
          <w:sz w:val="20"/>
        </w:rPr>
        <w:t xml:space="preserve">”). If the Company has not received such completed Questionnaire from an Investor within three Business Days of the Company’s request, the Company may file the Registration Statement without including such Investor’s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xml:space="preserve">. Each Investor, severally and not jointly with any other Investor, agrees that, upon receipt of any notice from the Company of the existence of an Allowed Delay or a Suspension Event as set forth in </w:t>
      </w:r>
      <w:r>
        <w:rPr>
          <w:rFonts w:ascii="Times New Roman" w:hAnsi="Times New Roman"/>
          <w:sz w:val="20"/>
          <w:u w:val="single"/>
        </w:rPr>
        <w:t>Section 3(e)</w:t>
      </w:r>
      <w:r>
        <w:rPr>
          <w:rFonts w:ascii="Times New Roman" w:hAnsi="Times New Roman"/>
          <w:sz w:val="20"/>
        </w:rPr>
        <w:t xml:space="preserve">,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5. EXPENSES OF REGISTRATION. </w:t>
      </w:r>
    </w:p>
    <w:p>
      <w:pPr>
        <w:pStyle w:val="TextBody"/>
        <w:bidi w:val="0"/>
        <w:spacing w:before="24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w:t>
      </w:r>
    </w:p>
    <w:p>
      <w:pPr>
        <w:pStyle w:val="TextBody"/>
        <w:bidi w:val="0"/>
        <w:spacing w:before="240" w:after="0"/>
        <w:jc w:val="left"/>
        <w:rPr>
          <w:rFonts w:ascii="Times New Roman" w:hAnsi="Times New Roman"/>
          <w:b/>
          <w:sz w:val="20"/>
        </w:rPr>
      </w:pPr>
      <w:r>
        <w:rPr>
          <w:rFonts w:ascii="Times New Roman" w:hAnsi="Times New Roman"/>
          <w:b/>
          <w:sz w:val="20"/>
        </w:rPr>
        <w:t xml:space="preserve">6. INDEMNIFICATION. </w:t>
      </w:r>
    </w:p>
    <w:p>
      <w:pPr>
        <w:pStyle w:val="TextBody"/>
        <w:bidi w:val="0"/>
        <w:spacing w:before="24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the Investors,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hAnsi="Times New Roman"/>
          <w:b/>
          <w:sz w:val="20"/>
        </w:rPr>
        <w:t>Losses</w:t>
      </w:r>
      <w:r>
        <w:rPr>
          <w:rFonts w:ascii="Times New Roman" w:hAnsi="Times New Roman"/>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hAnsi="Times New Roman"/>
          <w:b/>
          <w:sz w:val="20"/>
        </w:rPr>
        <w:t>Indemnified Damages</w:t>
      </w:r>
      <w:r>
        <w:rPr>
          <w:rFonts w:ascii="Times New Roman" w:hAnsi="Times New Roman"/>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such Losses are incurred and are due and payable, for any reasonable and documented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expressly for use in connection with the preparation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In connection with the Initial Registration Statement, any New Registration Statement or any prospectus, each Investor, severally and not jointly, agrees to indemnify, hold harmless and defend, the Company, each of its directors, each of its officers who signed the Initial Registration Statement or signs any New Registration Statement, and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losses, claims, damages, liabilities and expense (including reasonable attorney fees) resulting from any untrue statement or alleged untrue statement or omission or alleged omission of any material fact contained in any Registration Statement, any preliminary prospectus or final prospectus, or any amendment or supplement thereof, but, in each case to the extent, and only to the extent, that such untrue statement or alleged untrue statement or omission or alleged omission of any material fact contained in any Registration Statement, any preliminary prospectus or final prospectus, or any amendment or supplement thereof, was made in reliance upon and in conformity with information about the relevant Investor furnished in writing by such Investor to the Company for use in such Registration Statement expressly for use in connection with the preparation of the Registration Statement, any New Registration Statement, any prospectus or any such amendment thereof or supplement thereto. In no event shall the liability of any Investor be greater in amount than the dollar amount of the proceeds (net of all expenses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counsel) shall have the right to retain its own counsel with the reasonable fees and expenses of no more than one separate counsel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24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return such payment (including reimbursement of expenses) to the person making it. </w:t>
      </w:r>
    </w:p>
    <w:p>
      <w:pPr>
        <w:pStyle w:val="TextBody"/>
        <w:bidi w:val="0"/>
        <w:spacing w:before="24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240" w:after="0"/>
        <w:jc w:val="left"/>
        <w:rPr>
          <w:rFonts w:ascii="Times New Roman" w:hAnsi="Times New Roman"/>
          <w:b/>
          <w:sz w:val="20"/>
        </w:rPr>
      </w:pPr>
      <w:r>
        <w:rPr>
          <w:rFonts w:ascii="Times New Roman" w:hAnsi="Times New Roman"/>
          <w:b/>
          <w:sz w:val="20"/>
        </w:rPr>
        <w:t xml:space="preserve">7. CONTRIBUTION.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8. ASSIGNMENT OF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An Investor may transfer or assign its rights hereunder, in whole or from time to time in part, to one or more Persons in connection with the transfer of not fewer than 150,557 (subject to appropriate adjustment in the event of any stock dividend, stock split, combination or other similar recapitalization) Registrable Securities (including Registrable Securities issuable upon exercise of Warrants)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Agreement shall be binding upon and inure to the benefit of the Investors and their successors and permitted assigns. </w:t>
      </w:r>
    </w:p>
    <w:p>
      <w:pPr>
        <w:pStyle w:val="TextBody"/>
        <w:bidi w:val="0"/>
        <w:spacing w:before="240" w:after="0"/>
        <w:jc w:val="left"/>
        <w:rPr>
          <w:rFonts w:ascii="Times New Roman" w:hAnsi="Times New Roman"/>
          <w:b/>
          <w:sz w:val="20"/>
        </w:rPr>
      </w:pPr>
      <w:r>
        <w:rPr>
          <w:rFonts w:ascii="Times New Roman" w:hAnsi="Times New Roman"/>
          <w:b/>
          <w:sz w:val="20"/>
        </w:rPr>
        <w:t xml:space="preserve">9. AMENDMENTS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w:t>
      </w:r>
    </w:p>
    <w:p>
      <w:pPr>
        <w:pStyle w:val="TextBody"/>
        <w:bidi w:val="0"/>
        <w:spacing w:before="240" w:after="0"/>
        <w:jc w:val="left"/>
        <w:rPr>
          <w:rFonts w:ascii="Times New Roman" w:hAnsi="Times New Roman"/>
          <w:b/>
          <w:sz w:val="20"/>
        </w:rPr>
      </w:pPr>
      <w:r>
        <w:rPr>
          <w:rFonts w:ascii="Times New Roman" w:hAnsi="Times New Roman"/>
          <w:b/>
          <w:sz w:val="20"/>
        </w:rPr>
        <w:t xml:space="preserve">10. MISCELLANEOUS.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40 Guest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02135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left"/>
        <w:rPr>
          <w:rFonts w:ascii="Times New Roman" w:hAnsi="Times New Roman"/>
          <w:sz w:val="20"/>
        </w:rPr>
      </w:pPr>
      <w:r>
        <w:rPr>
          <w:rFonts w:ascii="Times New Roman" w:hAnsi="Times New Roman"/>
          <w:sz w:val="20"/>
        </w:rPr>
        <w:t xml:space="preserve">Attention: Divakar Gupta, Courtney Tygesson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ii. If to any Investor, at its e-mail address or address set forth on its signature page to the Purchase Agreement or to such e-mail address, or address as subsequently modified by written notice given in accordance with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 xml:space="preserve">Consent to Electronic Notice. </w:t>
      </w:r>
      <w:r>
        <w:rPr>
          <w:rFonts w:ascii="Times New Roman" w:hAnsi="Times New Roman"/>
          <w:sz w:val="20"/>
        </w:rPr>
        <w:t>Each Investor consents to the delivery of any stockholder notice pursuant to the Delaware General Corporation Law (the “</w:t>
      </w:r>
      <w:r>
        <w:rPr>
          <w:rFonts w:ascii="Times New Roman" w:hAnsi="Times New Roman"/>
          <w:b/>
          <w:sz w:val="20"/>
        </w:rPr>
        <w:t>DGCL</w:t>
      </w:r>
      <w:r>
        <w:rPr>
          <w:rFonts w:ascii="Times New Roman" w:hAnsi="Times New Roman"/>
          <w:sz w:val="20"/>
        </w:rPr>
        <w:t xml:space="preserve">”), as amended or superseded from time to time, by electronic mail pursuant to Section 232 of the DGCL (or any successor thereto) at the e-mail address set forth below the Investor’s name on the signature page or Exhibit B,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The provisions of </w:t>
      </w:r>
      <w:r>
        <w:rPr>
          <w:rFonts w:ascii="Times New Roman" w:hAnsi="Times New Roman"/>
          <w:sz w:val="20"/>
          <w:u w:val="single"/>
        </w:rPr>
        <w:t>Section 8.5</w:t>
      </w:r>
      <w:r>
        <w:rPr>
          <w:rFonts w:ascii="Times New Roman" w:hAnsi="Times New Roman"/>
          <w:sz w:val="20"/>
        </w:rPr>
        <w:t xml:space="preserve"> 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Third Party Beneficiaries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0"/>
        <w:gridCol w:w="3643"/>
      </w:tblGrid>
      <w:tr>
        <w:trPr/>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CUE BIOPHARMA,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 </w:t>
            </w:r>
          </w:p>
        </w:tc>
      </w:tr>
      <w:tr>
        <w:trPr/>
        <w:tc>
          <w:tcPr>
            <w:tcW w:w="3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Name: Shao-Lee Lin, MD, PhD</w:t>
            </w:r>
          </w:p>
        </w:tc>
      </w:tr>
      <w:tr>
        <w:trPr/>
        <w:tc>
          <w:tcPr>
            <w:tcW w:w="3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99"/>
        <w:gridCol w:w="144"/>
        <w:gridCol w:w="3139"/>
      </w:tblGrid>
      <w:tr>
        <w:trPr/>
        <w:tc>
          <w:tcPr>
            <w:tcW w:w="799"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rHeight w:val="240" w:hRule="atLeast"/>
        </w:trPr>
        <w:tc>
          <w:tcPr>
            <w:tcW w:w="799" w:type="dxa"/>
            <w:tcBorders/>
            <w:vAlign w:val="center"/>
          </w:tcPr>
          <w:p>
            <w:pPr>
              <w:pStyle w:val="TableContents"/>
              <w:bidi w:val="0"/>
              <w:spacing w:before="0" w:after="283"/>
              <w:jc w:val="left"/>
              <w:rPr>
                <w:sz w:val="4"/>
                <w:szCs w:val="4"/>
              </w:rPr>
            </w:pPr>
            <w:r>
              <w:rPr>
                <w:sz w:val="4"/>
                <w:szCs w:val="4"/>
              </w:rPr>
            </w:r>
          </w:p>
        </w:tc>
        <w:tc>
          <w:tcPr>
            <w:tcW w:w="3283"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By:</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3139"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637"/>
        <w:gridCol w:w="60"/>
        <w:gridCol w:w="3385"/>
      </w:tblGrid>
      <w:tr>
        <w:trPr/>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37" w:type="dxa"/>
            <w:tcBorders/>
            <w:vAlign w:val="center"/>
          </w:tcPr>
          <w:p>
            <w:pPr>
              <w:pStyle w:val="TableContents"/>
              <w:bidi w:val="0"/>
              <w:spacing w:before="0" w:after="283"/>
              <w:jc w:val="left"/>
              <w:rPr>
                <w:sz w:val="4"/>
                <w:szCs w:val="4"/>
              </w:rPr>
            </w:pPr>
            <w:r>
              <w:rPr>
                <w:sz w:val="4"/>
                <w:szCs w:val="4"/>
              </w:rPr>
            </w:r>
          </w:p>
        </w:tc>
        <w:tc>
          <w:tcPr>
            <w:tcW w:w="3445" w:type="dxa"/>
            <w:gridSpan w:val="2"/>
            <w:tcBorders/>
            <w:vAlign w:val="center"/>
          </w:tcPr>
          <w:p>
            <w:pPr>
              <w:pStyle w:val="TableContents"/>
              <w:bidi w:val="0"/>
              <w:spacing w:before="0" w:after="283"/>
              <w:jc w:val="left"/>
              <w:rPr>
                <w:sz w:val="4"/>
                <w:szCs w:val="4"/>
              </w:rPr>
            </w:pPr>
            <w:r>
              <w:rPr>
                <w:sz w:val="4"/>
                <w:szCs w:val="4"/>
              </w:rPr>
            </w:r>
          </w:p>
        </w:tc>
      </w:tr>
      <w:tr>
        <w:trPr/>
        <w:tc>
          <w:tcPr>
            <w:tcW w:w="63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5"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555"/>
        <w:gridCol w:w="63"/>
        <w:gridCol w:w="3464"/>
      </w:tblGrid>
      <w:tr>
        <w:trPr/>
        <w:tc>
          <w:tcPr>
            <w:tcW w:w="5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55" w:type="dxa"/>
            <w:tcBorders/>
            <w:vAlign w:val="center"/>
          </w:tcPr>
          <w:p>
            <w:pPr>
              <w:pStyle w:val="TableContents"/>
              <w:bidi w:val="0"/>
              <w:spacing w:before="0" w:after="283"/>
              <w:jc w:val="left"/>
              <w:rPr>
                <w:sz w:val="4"/>
                <w:szCs w:val="4"/>
              </w:rPr>
            </w:pPr>
            <w:r>
              <w:rPr>
                <w:sz w:val="4"/>
                <w:szCs w:val="4"/>
              </w:rPr>
            </w:r>
          </w:p>
        </w:tc>
        <w:tc>
          <w:tcPr>
            <w:tcW w:w="3527"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46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PLAN OF DISTRIBUTION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Investor Questionnaire </w:t>
      </w:r>
    </w:p>
    <w:p>
      <w:pPr>
        <w:pStyle w:val="TextBody"/>
        <w:bidi w:val="0"/>
        <w:spacing w:before="0" w:after="0"/>
        <w:jc w:val="right"/>
        <w:rPr>
          <w:rFonts w:ascii="Times New Roman" w:hAnsi="Times New Roman"/>
          <w:b/>
          <w:sz w:val="20"/>
        </w:rPr>
      </w:pPr>
      <w:bookmarkStart w:id="8" w:name="d123955dex991.htm"/>
      <w:bookmarkStart w:id="9" w:name="ksd123955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526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6477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Cue Biopharma Announces $50.0 Million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BOSTON, MA, July 9, 2026 – Cue Biopharma, Inc. (Nasdaq: CUE), a clinical stage biopharmaceutical company focused on developing transformative therapies targeting functional cures for immunological disorders, today announced that it has entered into a securities purchase agreement with a group of accredited investors for the private placement of (i) 1,418,071 shares of common stock at a purchase price of $33.21 per share and (ii) to certain investors, in lieu of shares of common stock, pre-funded warrants to purchase up to 87,500 shares of common stock at a price per pre-funded warrant of $33.209, for gross proceeds of approximately $50.0 million.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is expected to close on or about July 13, 2026, subject to the satisfaction of customary closing conditions. The pre-funded warrants will have an exercise price of $0.001 per share, be immediately exercisable, and remain exercisable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was led by Cormorant Asset Management, with participation from additional new investment funds including Columbia Threadneedle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private placement to further fund clinical development and for other general corporate purposes. </w:t>
      </w:r>
    </w:p>
    <w:p>
      <w:pPr>
        <w:pStyle w:val="TextBody"/>
        <w:bidi w:val="0"/>
        <w:spacing w:before="240" w:after="0"/>
        <w:jc w:val="left"/>
        <w:rPr/>
      </w:pPr>
      <w:r>
        <w:rPr/>
        <w:t>“</w:t>
      </w:r>
      <w:r>
        <w:rPr>
          <w:rFonts w:ascii="Times New Roman" w:hAnsi="Times New Roman"/>
          <w:sz w:val="20"/>
        </w:rPr>
        <w:t xml:space="preserve">We are pleased to have such a high-quality group of biotech investors committing to the long-term support of Cue as we build our company and advance our portfolio targeting functional cures across immunological disorders,” said Shao-Lee Lin, M.D., Ph.D., chief executive officer, president and board director of Cue Biopharma. “We look forward to our upcoming clinical milestones, including data from Ascendant Health’s ongoing Phase 2 CSU study in China, which is expected by the end of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being issued and sold in the private placement, including the shares of common stock underlying the pre-funded warrants, have not been registered under the Securities Act of 1933, as amended (the “Securities Act”). Accordingly, these securities may not be offered or sold in the United States, except pursuant to an effective registration statement or an applicable exemption from the registration requirements of the Securities Act. Concurrently with the execution of the securities purchase agreement, the Company and the investors entered into a registration rights agreement pursuant to which the Company has agreed to file a registration statement with the Securities and Exchange Commission registering the resale of the shares of common stock sold in the private placement and the shares of common stock underlying the pre-funded warrants sold in the private placement.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52880" cy="537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52880" cy="5372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 securities in any jurisdiction in which such offer, solicitation or sale would be unlawful prior to the registration or qualification under the securities laws of such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Cue Biopharma </w:t>
      </w:r>
    </w:p>
    <w:p>
      <w:pPr>
        <w:pStyle w:val="TextBody"/>
        <w:bidi w:val="0"/>
        <w:spacing w:before="120" w:after="0"/>
        <w:jc w:val="left"/>
        <w:rPr>
          <w:rFonts w:ascii="Times New Roman" w:hAnsi="Times New Roman"/>
          <w:sz w:val="20"/>
        </w:rPr>
      </w:pPr>
      <w:r>
        <w:rPr>
          <w:rFonts w:ascii="Times New Roman" w:hAnsi="Times New Roman"/>
          <w:sz w:val="20"/>
        </w:rPr>
        <w:t xml:space="preserve">Cue Biopharma (Nasdaq: CUE) is a clinical stage biopharmaceutical company focused on advancing a portfolio of potentially transformative therapies aimed at enabling functional cures across immunological disorders. Its lead asset is a novel anti-IgE antibody with a dual-mechanism of action, currently in Phase 2 development for allergic diseases. In addition, Cue developed the Immuno-STAT® platform which selectively targets disease-specific T cells in vivo without broad immune modulation. Its lead autoimmune candidate, CUE-401, is advancing towards Phase 1 and was designed to regulate inflammation and drive Treg-mediated tolerance. Cue is led by an experienced management team with deep expertise in identifying, acquiring, and advancing promising drug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Such forward-looking statements include, but are not limited to, those regarding: the expected closing of, and anticipated use of proceeds from, the private placement and the company’s anticipated clinical milestones. Forward-looking statements, which are based on certain assumptions and describe the company’s future plans, strategies and expectations, can generally be identified by the use of forward-looking terms such as “believe,” “expect,” “may,” “will,” “should,” “would,” “could,” “seek,” “intend,” “plan,” “goal,” “project,” “estimate,” “anticipate,” “strategy,” “future,” “likely,” “promise” or other comparable terms, although not all forward-looking statements contain these identifying words. All statements other than statements of historical facts included in this press release regarding the company’s strategies, prospects, financial condition, operations, costs, plans and objectives are forward-looking statements. Important factors that could cause the company’s actual results and financial condition to differ materially from those indicated in the forward-looking statements include, among others, market conditions and the satisfaction of customary closing conditions related to the private placement, and the other risks and uncertainties described in the Risk Factors and Management’s Discussion and Analysis of Financial Condition and Results of Operations sections of the company’s most recently filed Annual Report on Form 10-K and any subsequently filed Quarterly Report(s) on Form 10-Q. Any forward-looking statement made by the company in this press release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52880" cy="5372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52880" cy="5372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Investor and Media Contact </w:t>
      </w:r>
    </w:p>
    <w:p>
      <w:pPr>
        <w:pStyle w:val="TextBody"/>
        <w:bidi w:val="0"/>
        <w:spacing w:before="120" w:after="0"/>
        <w:jc w:val="left"/>
        <w:rPr>
          <w:rFonts w:ascii="Times New Roman" w:hAnsi="Times New Roman"/>
          <w:sz w:val="20"/>
        </w:rPr>
      </w:pPr>
      <w:r>
        <w:rPr>
          <w:rFonts w:ascii="Times New Roman" w:hAnsi="Times New Roman"/>
          <w:sz w:val="20"/>
        </w:rPr>
        <w:t xml:space="preserve">Agnes Lee </w:t>
      </w:r>
    </w:p>
    <w:p>
      <w:pPr>
        <w:pStyle w:val="TextBody"/>
        <w:bidi w:val="0"/>
        <w:spacing w:before="0" w:after="0"/>
        <w:jc w:val="left"/>
        <w:rPr>
          <w:rFonts w:ascii="Times New Roman" w:hAnsi="Times New Roman"/>
          <w:sz w:val="20"/>
        </w:rPr>
      </w:pPr>
      <w:r>
        <w:rPr>
          <w:rFonts w:ascii="Times New Roman" w:hAnsi="Times New Roman"/>
          <w:sz w:val="20"/>
        </w:rPr>
        <w:t xml:space="preserve">Chief Officer of Public and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Marie Campinell </w:t>
      </w:r>
    </w:p>
    <w:p>
      <w:pPr>
        <w:pStyle w:val="TextBody"/>
        <w:bidi w:val="0"/>
        <w:spacing w:before="0" w:after="0"/>
        <w:jc w:val="left"/>
        <w:rPr>
          <w:rFonts w:ascii="Times New Roman" w:hAnsi="Times New Roman"/>
          <w:sz w:val="20"/>
        </w:rPr>
      </w:pPr>
      <w:r>
        <w:rPr>
          <w:rFonts w:ascii="Times New Roman" w:hAnsi="Times New Roman"/>
          <w:sz w:val="20"/>
        </w:rPr>
        <w:t xml:space="preserve">Senior Director, Corporate Communications </w:t>
      </w:r>
    </w:p>
    <w:p>
      <w:pPr>
        <w:pStyle w:val="TextBody"/>
        <w:bidi w:val="0"/>
        <w:spacing w:before="240" w:after="0"/>
        <w:jc w:val="left"/>
        <w:rPr>
          <w:rFonts w:ascii="Times New Roman" w:hAnsi="Times New Roman"/>
          <w:sz w:val="20"/>
        </w:rPr>
      </w:pPr>
      <w:r>
        <w:rPr>
          <w:rFonts w:ascii="Times New Roman" w:hAnsi="Times New Roman"/>
          <w:sz w:val="20"/>
          <w:u w:val="single"/>
        </w:rPr>
        <w:t>ir@cuebio.com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Cue Biopharma,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37037</Words>
  <Characters>198283</Characters>
  <CharactersWithSpaces>235367</CharactersWithSpaces>
  <Paragraphs>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